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21" w:rsidRDefault="000B5C2A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36"/>
        </w:rPr>
        <w:t>关于代销苏银理财恒源</w:t>
      </w:r>
      <w:r w:rsidR="008C49E6">
        <w:rPr>
          <w:rFonts w:ascii="宋体" w:eastAsia="宋体" w:hAnsi="宋体" w:cs="宋体" w:hint="eastAsia"/>
          <w:b/>
          <w:bCs/>
          <w:sz w:val="36"/>
        </w:rPr>
        <w:t>封闭债权33期</w:t>
      </w:r>
      <w:r>
        <w:rPr>
          <w:rFonts w:ascii="宋体" w:eastAsia="宋体" w:hAnsi="宋体" w:cs="宋体" w:hint="eastAsia"/>
          <w:b/>
          <w:bCs/>
          <w:sz w:val="36"/>
        </w:rPr>
        <w:t>的通知</w:t>
      </w:r>
    </w:p>
    <w:p w:rsidR="005C0D21" w:rsidRDefault="000B5C2A"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各分(支)行、总行营业部：</w:t>
      </w:r>
    </w:p>
    <w:p w:rsidR="005C0D21" w:rsidRDefault="000B5C2A">
      <w:pPr>
        <w:adjustRightInd/>
        <w:snapToGrid/>
        <w:spacing w:after="0"/>
        <w:ind w:firstLine="63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我行代销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苏银理财有限责任公司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发行的苏银理财恒源</w:t>
      </w:r>
      <w:r w:rsidR="008C49E6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封闭债权33期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将</w:t>
      </w:r>
      <w:r>
        <w:rPr>
          <w:rFonts w:ascii="仿宋_GB2312" w:eastAsia="仿宋_GB2312" w:hAnsi="微软雅黑" w:cs="宋体" w:hint="eastAsia"/>
          <w:sz w:val="32"/>
          <w:szCs w:val="32"/>
        </w:rPr>
        <w:t>于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1</w:t>
      </w:r>
      <w:r w:rsidR="00E85459">
        <w:rPr>
          <w:rFonts w:ascii="仿宋_GB2312" w:eastAsia="仿宋_GB2312" w:hAnsi="微软雅黑" w:cs="宋体" w:hint="eastAsia"/>
          <w:color w:val="FF0000"/>
          <w:sz w:val="32"/>
          <w:szCs w:val="32"/>
        </w:rPr>
        <w:t>2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日9:00</w:t>
      </w:r>
      <w:r>
        <w:rPr>
          <w:rFonts w:ascii="仿宋_GB2312" w:eastAsia="仿宋_GB2312" w:hAnsi="微软雅黑" w:cs="宋体" w:hint="eastAsia"/>
          <w:sz w:val="32"/>
          <w:szCs w:val="32"/>
        </w:rPr>
        <w:t>至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2023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bookmarkStart w:id="0" w:name="_GoBack"/>
      <w:bookmarkEnd w:id="0"/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1</w:t>
      </w:r>
      <w:r w:rsidR="00E85459">
        <w:rPr>
          <w:rFonts w:ascii="仿宋_GB2312" w:eastAsia="仿宋_GB2312" w:hAnsi="微软雅黑" w:cs="宋体" w:hint="eastAsia"/>
          <w:color w:val="FF0000"/>
          <w:sz w:val="32"/>
          <w:szCs w:val="32"/>
        </w:rPr>
        <w:t>8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日17:00</w:t>
      </w:r>
      <w:r>
        <w:rPr>
          <w:rFonts w:ascii="仿宋_GB2312" w:eastAsia="仿宋_GB2312" w:hAnsi="微软雅黑" w:cs="宋体" w:hint="eastAsia"/>
          <w:sz w:val="32"/>
          <w:szCs w:val="32"/>
        </w:rPr>
        <w:t>销售，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目前只在</w:t>
      </w:r>
      <w:r>
        <w:rPr>
          <w:rFonts w:ascii="仿宋_GB2312" w:eastAsia="仿宋_GB2312" w:hAnsi="微软雅黑" w:cs="宋体" w:hint="eastAsia"/>
          <w:b/>
          <w:color w:val="FF0000"/>
          <w:sz w:val="32"/>
          <w:szCs w:val="32"/>
        </w:rPr>
        <w:t>手机银行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进行认购和撤销。部分要素如下：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8"/>
        <w:gridCol w:w="6614"/>
      </w:tblGrid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1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苏银理财恒源封闭债权33期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40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Z7003123000003</w:t>
            </w:r>
          </w:p>
          <w:p w:rsidR="008C49E6" w:rsidRDefault="008C49E6" w:rsidP="008C49E6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（投资者可依据该编码在中国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理财网</w:t>
            </w:r>
            <w:proofErr w:type="gramEnd"/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begin"/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instrText xml:space="preserve"> HYPERLINK "http://www.chinawealth.com.cn/" </w:instrTex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separate"/>
            </w:r>
            <w:r>
              <w:rPr>
                <w:rStyle w:val="a8"/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www.chinawealth.com.cn</w: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end"/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查询产品信息）。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B份额：苏银理财恒源封闭债权33期9月B/J02210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苏银理财有限责任公司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江苏银行股份有限公司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1、★★二级，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 w:rsidR="008C49E6" w:rsidRDefault="008C49E6" w:rsidP="008C49E6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、本产品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</w:p>
          <w:p w:rsidR="008C49E6" w:rsidRDefault="008C49E6" w:rsidP="008C49E6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3、该产品通过代理销售机构渠道销售的，理财产品评级以代理销售机构最终披露的评级结果为准。</w:t>
            </w:r>
          </w:p>
          <w:p w:rsidR="008C49E6" w:rsidRPr="008C49E6" w:rsidRDefault="008C49E6" w:rsidP="008C49E6">
            <w:r>
              <w:rPr>
                <w:rFonts w:ascii="仿宋" w:eastAsia="仿宋" w:hAnsi="仿宋" w:hint="eastAsia"/>
                <w:b/>
                <w:color w:val="FF0000"/>
              </w:rPr>
              <w:t>紫金农商银行对本产品的风险评级为中低风险。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净值型（非保本浮动收益）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固定收益类、公募、封闭式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面向个人和机构投资者销售，具体以销售机构系统设置为准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pStyle w:val="TableParagraph"/>
              <w:kinsoku w:val="0"/>
              <w:overflowPunct w:val="0"/>
              <w:spacing w:before="14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人民币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本产品B份额计划发行总规模：25亿份。</w:t>
            </w:r>
          </w:p>
          <w:p w:rsidR="008C49E6" w:rsidRDefault="008C49E6" w:rsidP="008C49E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认购起点/追加金额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ind w:left="59" w:rightChars="35" w:right="77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B份额投资者单笔</w:t>
            </w:r>
            <w:r>
              <w:rPr>
                <w:rFonts w:ascii="楷体" w:eastAsia="楷体" w:hAnsi="楷体" w:hint="eastAsia"/>
                <w:szCs w:val="21"/>
              </w:rPr>
              <w:t>认购起点金额为1元，追加金额为1元的整数</w:t>
            </w:r>
            <w:proofErr w:type="gramStart"/>
            <w:r>
              <w:rPr>
                <w:rFonts w:ascii="楷体" w:eastAsia="楷体" w:hAnsi="楷体" w:hint="eastAsia"/>
                <w:szCs w:val="21"/>
              </w:rPr>
              <w:t>倍</w:t>
            </w:r>
            <w:proofErr w:type="gramEnd"/>
            <w:r>
              <w:rPr>
                <w:rFonts w:ascii="楷体" w:eastAsia="楷体" w:hAnsi="楷体" w:hint="eastAsia"/>
                <w:szCs w:val="21"/>
              </w:rPr>
              <w:t>。</w:t>
            </w:r>
          </w:p>
          <w:p w:rsidR="008C49E6" w:rsidRDefault="008C49E6" w:rsidP="008C49E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认购资金的清算和认购份额的计算详见</w:t>
            </w:r>
            <w:r w:rsidR="00DF7E82">
              <w:rPr>
                <w:rFonts w:ascii="楷体" w:eastAsia="楷体" w:hAnsi="楷体" w:hint="eastAsia"/>
                <w:szCs w:val="21"/>
              </w:rPr>
              <w:t>产品说明书</w:t>
            </w:r>
            <w:r>
              <w:rPr>
                <w:rFonts w:ascii="楷体" w:eastAsia="楷体" w:hAnsi="楷体" w:hint="eastAsia"/>
                <w:szCs w:val="21"/>
              </w:rPr>
              <w:t>“八、产品认购”。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1元/份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2023年1月12日9:00至2023年1月18日17:00</w:t>
            </w:r>
          </w:p>
          <w:p w:rsidR="008C49E6" w:rsidRDefault="008C49E6" w:rsidP="008C49E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2023年1月19日</w:t>
            </w:r>
          </w:p>
          <w:p w:rsidR="008C49E6" w:rsidRDefault="008C49E6" w:rsidP="008C49E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lastRenderedPageBreak/>
              <w:t>若产品认购份额未达到最低发行总规模3000万，或新的法律、法规导致本产品无法合法合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规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运行，或出现其他导致影响产品成立不可抗力因素，产品管理人有权利但无义务宣布产品不成立，并于产品募集期结束后5个工作日内将投资者认购资金返还至投资者资金账户，在途期间投资者投资本金不计息。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产品到期日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2023年10月26日（如遇节假日，顺延至下一工作日）</w:t>
            </w:r>
          </w:p>
          <w:p w:rsidR="008C49E6" w:rsidRDefault="008C49E6" w:rsidP="008C49E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 w:rsidR="00DF7E82"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“十、产品的终止与清算”。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280天（以理财产品实际存续天数为准），</w:t>
            </w:r>
            <w:r>
              <w:rPr>
                <w:rFonts w:ascii="楷体" w:eastAsia="楷体" w:hAnsi="楷体" w:cs="Calibri" w:hint="eastAsia"/>
                <w:b/>
                <w:szCs w:val="21"/>
                <w:u w:val="single"/>
              </w:rPr>
              <w:t>本产品运行期间，不开放申购、赎回。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pStyle w:val="TableParagraph"/>
              <w:kinsoku w:val="0"/>
              <w:overflowPunct w:val="0"/>
              <w:spacing w:before="37" w:line="271" w:lineRule="auto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年化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3.70%</w:t>
            </w:r>
          </w:p>
          <w:p w:rsidR="008C49E6" w:rsidRDefault="008C49E6" w:rsidP="008C49E6">
            <w:pPr>
              <w:pStyle w:val="TableParagraph"/>
              <w:kinsoku w:val="0"/>
              <w:overflowPunct w:val="0"/>
              <w:spacing w:before="37" w:line="271" w:lineRule="auto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管理人参考过往投资经验，依据近期货币市场工具、债券、非标准化债权等资产投资收益水平，在产品说明书约定的投资范围和投资比例内，综合考虑各份额收取的销售服务费和投资管理费的情况，模拟测算得出业绩比较基准。本产品各份额因收取的销售服务费和投资管理费存在差异，业绩比较基准设置将有所不同）</w:t>
            </w:r>
          </w:p>
          <w:p w:rsidR="008C49E6" w:rsidRDefault="008C49E6" w:rsidP="008C49E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为净值型产品，业绩表现将随市场波动，具有不确定性。业绩比较基准仅供投资者投资参考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本产品费用包括托管费、销售服务费、投资管理费、超额业绩报酬以及产品运作和清算中产生的其他费用等。</w:t>
            </w:r>
          </w:p>
          <w:p w:rsidR="008C49E6" w:rsidRDefault="008C49E6" w:rsidP="008C49E6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1.托管费率：0.02%/年；</w:t>
            </w:r>
          </w:p>
          <w:p w:rsidR="008C49E6" w:rsidRDefault="008C49E6" w:rsidP="008C49E6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2.销售服务费率： B份额0.2%/年；</w:t>
            </w:r>
          </w:p>
          <w:p w:rsidR="008C49E6" w:rsidRDefault="008C49E6" w:rsidP="008C49E6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3.投资管理费率： B份额0.1%/年；</w:t>
            </w:r>
          </w:p>
          <w:p w:rsidR="008C49E6" w:rsidRDefault="008C49E6" w:rsidP="008C49E6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4.超额业绩报酬：若产品各份额实际投资收益在扣除托管费、销售服务费、投资管理费、运作产品所必须缴纳的税费后超过业绩比较基准，产品管理人将按照超出部分的60%收取超额业绩报酬。</w:t>
            </w:r>
          </w:p>
          <w:p w:rsidR="008C49E6" w:rsidRDefault="008C49E6" w:rsidP="008C49E6">
            <w:pPr>
              <w:widowControl w:val="0"/>
              <w:ind w:left="59" w:rightChars="35" w:right="77"/>
              <w:jc w:val="both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产品存续期内苏银理财可对产品费用施行优惠，产品费用的实际收取费率以管理人公告为准。详见</w:t>
            </w:r>
            <w:r w:rsidR="00DF7E82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“十一、产品费用”。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 w:rsidR="00DF7E82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“九、产品估值”。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管理人将按照《产品说明书》中约定的方式进行信息披露，详见</w:t>
            </w:r>
            <w:r w:rsidR="00DF7E82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“十四、信息披露”。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本产品无分红机制，投资运作情况体现为产品净值变化。产品投资运作到期，投资收益扣除相关费用后，全部分配给投资者。详见</w:t>
            </w:r>
            <w:r w:rsidR="00DF7E82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>“十、产品的终止与清算”。</w:t>
            </w:r>
          </w:p>
        </w:tc>
      </w:tr>
      <w:tr w:rsidR="008C49E6" w:rsidTr="008C49E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E6" w:rsidRDefault="008C49E6" w:rsidP="008C49E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本产品运作过程中涉及的各纳税主体，其纳税义务按国家税收法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lastRenderedPageBreak/>
              <w:t>律、法规执行。详见</w:t>
            </w:r>
            <w:r w:rsidR="00DF7E82">
              <w:rPr>
                <w:rFonts w:ascii="楷体" w:eastAsia="楷体" w:hAnsi="楷体" w:cs="宋体" w:hint="eastAsia"/>
                <w:spacing w:val="-2"/>
                <w:szCs w:val="21"/>
              </w:rPr>
              <w:t>产品说明书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t xml:space="preserve">“十二、税收规定”。 </w:t>
            </w:r>
          </w:p>
        </w:tc>
      </w:tr>
    </w:tbl>
    <w:p w:rsidR="005C0D21" w:rsidRDefault="000B5C2A">
      <w:pPr>
        <w:adjustRightInd/>
        <w:snapToGrid/>
        <w:spacing w:after="0"/>
        <w:ind w:firstLine="630"/>
        <w:jc w:val="center"/>
        <w:rPr>
          <w:rFonts w:ascii="仿宋_GB2312" w:eastAsia="仿宋_GB2312" w:hAnsi="微软雅黑" w:cs="宋体"/>
          <w:color w:val="FF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lastRenderedPageBreak/>
        <w:t>（更多具体要素请详</w:t>
      </w:r>
      <w:proofErr w:type="gramStart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阅产品</w:t>
      </w:r>
      <w:proofErr w:type="gramEnd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说明书）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注意事项：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1.该产品销售要求参照我行自营理财销售相关规定执行。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2.相关产品销售文件见附件。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3.如有其他未尽事宜以私人银行</w:t>
      </w:r>
      <w:proofErr w:type="gramStart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部解释</w:t>
      </w:r>
      <w:proofErr w:type="gramEnd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为准。</w:t>
      </w:r>
    </w:p>
    <w:p w:rsidR="005C0D21" w:rsidRDefault="005C0D21"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附件：1.“苏银理财恒源</w:t>
      </w:r>
      <w:r w:rsidR="008C49E6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封闭债权33期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”理财产品说明书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 理财产品代理销售协议书、苏银理财有限责任公司理财产品投资协议书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3.“苏银理财恒源</w:t>
      </w:r>
      <w:r w:rsidR="008C49E6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封闭债权33期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”理财产品风险揭示书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4.苏银理财有限责任公司投资者权益须知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5. 风险承受能力评估表</w:t>
      </w: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私人银行部</w:t>
      </w:r>
    </w:p>
    <w:p w:rsidR="005C0D21" w:rsidRDefault="000B5C2A">
      <w:pPr>
        <w:adjustRightInd/>
        <w:snapToGrid/>
        <w:spacing w:after="0"/>
        <w:ind w:firstLine="5445"/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202</w:t>
      </w:r>
      <w:r w:rsidR="00570005">
        <w:rPr>
          <w:rFonts w:ascii="仿宋_GB2312" w:eastAsia="仿宋_GB2312" w:hAnsi="微软雅黑" w:cs="宋体" w:hint="eastAsia"/>
          <w:color w:val="000000"/>
          <w:sz w:val="32"/>
          <w:szCs w:val="32"/>
        </w:rPr>
        <w:t>3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年</w:t>
      </w:r>
      <w:r w:rsidR="00570005">
        <w:rPr>
          <w:rFonts w:ascii="仿宋_GB2312" w:eastAsia="仿宋_GB2312" w:hAnsi="微软雅黑" w:cs="宋体" w:hint="eastAsia"/>
          <w:color w:val="00000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月</w:t>
      </w:r>
      <w:r w:rsidR="00570005">
        <w:rPr>
          <w:rFonts w:ascii="仿宋_GB2312" w:eastAsia="仿宋_GB2312" w:hAnsi="微软雅黑" w:cs="宋体" w:hint="eastAsia"/>
          <w:color w:val="000000"/>
          <w:sz w:val="32"/>
          <w:szCs w:val="32"/>
        </w:rPr>
        <w:t>1</w:t>
      </w:r>
      <w:r w:rsidR="002F00B3">
        <w:rPr>
          <w:rFonts w:ascii="仿宋_GB2312" w:eastAsia="仿宋_GB2312" w:hAnsi="微软雅黑" w:cs="宋体" w:hint="eastAsia"/>
          <w:color w:val="000000"/>
          <w:sz w:val="32"/>
          <w:szCs w:val="32"/>
        </w:rPr>
        <w:t>1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日</w:t>
      </w:r>
    </w:p>
    <w:sectPr w:rsidR="005C0D21" w:rsidSect="005C0D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02A13"/>
    <w:rsid w:val="00014D89"/>
    <w:rsid w:val="0002233E"/>
    <w:rsid w:val="00025736"/>
    <w:rsid w:val="000430CA"/>
    <w:rsid w:val="00050465"/>
    <w:rsid w:val="000547BB"/>
    <w:rsid w:val="0006322B"/>
    <w:rsid w:val="000729EB"/>
    <w:rsid w:val="000812F4"/>
    <w:rsid w:val="000936F7"/>
    <w:rsid w:val="000957AC"/>
    <w:rsid w:val="000A5028"/>
    <w:rsid w:val="000B5C2A"/>
    <w:rsid w:val="000E18A2"/>
    <w:rsid w:val="000E1FA9"/>
    <w:rsid w:val="000E7543"/>
    <w:rsid w:val="0010440D"/>
    <w:rsid w:val="00110B5C"/>
    <w:rsid w:val="001225F8"/>
    <w:rsid w:val="00157799"/>
    <w:rsid w:val="00160908"/>
    <w:rsid w:val="00174CF3"/>
    <w:rsid w:val="00174FC8"/>
    <w:rsid w:val="00182785"/>
    <w:rsid w:val="00190048"/>
    <w:rsid w:val="001A556D"/>
    <w:rsid w:val="001B2273"/>
    <w:rsid w:val="001D40A6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513BD"/>
    <w:rsid w:val="00257856"/>
    <w:rsid w:val="00277323"/>
    <w:rsid w:val="002777A1"/>
    <w:rsid w:val="00283408"/>
    <w:rsid w:val="002866F6"/>
    <w:rsid w:val="0029028F"/>
    <w:rsid w:val="002B1948"/>
    <w:rsid w:val="002C248B"/>
    <w:rsid w:val="002D757D"/>
    <w:rsid w:val="002D7671"/>
    <w:rsid w:val="002E3ECB"/>
    <w:rsid w:val="002E7145"/>
    <w:rsid w:val="002F00B3"/>
    <w:rsid w:val="002F07C0"/>
    <w:rsid w:val="003059D5"/>
    <w:rsid w:val="00320D56"/>
    <w:rsid w:val="00322F4C"/>
    <w:rsid w:val="00323B43"/>
    <w:rsid w:val="00347193"/>
    <w:rsid w:val="003476A4"/>
    <w:rsid w:val="00353BA9"/>
    <w:rsid w:val="00355E21"/>
    <w:rsid w:val="00357EB7"/>
    <w:rsid w:val="00361A72"/>
    <w:rsid w:val="00393219"/>
    <w:rsid w:val="003C0D6B"/>
    <w:rsid w:val="003C1D41"/>
    <w:rsid w:val="003D37D8"/>
    <w:rsid w:val="003D4715"/>
    <w:rsid w:val="003E2BFC"/>
    <w:rsid w:val="003F70AB"/>
    <w:rsid w:val="00410A33"/>
    <w:rsid w:val="00422AD1"/>
    <w:rsid w:val="00426133"/>
    <w:rsid w:val="004349C0"/>
    <w:rsid w:val="004358AB"/>
    <w:rsid w:val="00443E90"/>
    <w:rsid w:val="00450005"/>
    <w:rsid w:val="00450C77"/>
    <w:rsid w:val="0045680A"/>
    <w:rsid w:val="00471A3B"/>
    <w:rsid w:val="004749F0"/>
    <w:rsid w:val="00476C3B"/>
    <w:rsid w:val="0049140E"/>
    <w:rsid w:val="00496E4F"/>
    <w:rsid w:val="004C175A"/>
    <w:rsid w:val="00510995"/>
    <w:rsid w:val="005168C5"/>
    <w:rsid w:val="005218F6"/>
    <w:rsid w:val="00523BDD"/>
    <w:rsid w:val="0052515C"/>
    <w:rsid w:val="00530F2D"/>
    <w:rsid w:val="00536DF2"/>
    <w:rsid w:val="00543584"/>
    <w:rsid w:val="00543782"/>
    <w:rsid w:val="0055369F"/>
    <w:rsid w:val="00570005"/>
    <w:rsid w:val="005B1774"/>
    <w:rsid w:val="005B45CF"/>
    <w:rsid w:val="005C0D21"/>
    <w:rsid w:val="005C155D"/>
    <w:rsid w:val="005C31E9"/>
    <w:rsid w:val="005D072F"/>
    <w:rsid w:val="005F2B78"/>
    <w:rsid w:val="00606205"/>
    <w:rsid w:val="00607EC0"/>
    <w:rsid w:val="00610019"/>
    <w:rsid w:val="006110FC"/>
    <w:rsid w:val="00611544"/>
    <w:rsid w:val="006128D5"/>
    <w:rsid w:val="006148C9"/>
    <w:rsid w:val="0061606F"/>
    <w:rsid w:val="006214F4"/>
    <w:rsid w:val="00677D5A"/>
    <w:rsid w:val="006C44CC"/>
    <w:rsid w:val="006F7856"/>
    <w:rsid w:val="00701C74"/>
    <w:rsid w:val="0070239F"/>
    <w:rsid w:val="00714B02"/>
    <w:rsid w:val="007248B8"/>
    <w:rsid w:val="0073205A"/>
    <w:rsid w:val="00740E8C"/>
    <w:rsid w:val="00741563"/>
    <w:rsid w:val="00747E0A"/>
    <w:rsid w:val="007675CD"/>
    <w:rsid w:val="00783419"/>
    <w:rsid w:val="007865C9"/>
    <w:rsid w:val="00793A91"/>
    <w:rsid w:val="00796629"/>
    <w:rsid w:val="007A6260"/>
    <w:rsid w:val="007C44C4"/>
    <w:rsid w:val="007D35F2"/>
    <w:rsid w:val="008201C5"/>
    <w:rsid w:val="00827FB9"/>
    <w:rsid w:val="008445DB"/>
    <w:rsid w:val="008450A8"/>
    <w:rsid w:val="008507C0"/>
    <w:rsid w:val="0085497C"/>
    <w:rsid w:val="00854BCB"/>
    <w:rsid w:val="00867E9B"/>
    <w:rsid w:val="00884835"/>
    <w:rsid w:val="008930CD"/>
    <w:rsid w:val="00893277"/>
    <w:rsid w:val="00895EEF"/>
    <w:rsid w:val="00896D1C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F2B7A"/>
    <w:rsid w:val="008F7CA5"/>
    <w:rsid w:val="00903E35"/>
    <w:rsid w:val="00911DE1"/>
    <w:rsid w:val="00916AFD"/>
    <w:rsid w:val="00951BFC"/>
    <w:rsid w:val="00953E58"/>
    <w:rsid w:val="0096633A"/>
    <w:rsid w:val="0096677C"/>
    <w:rsid w:val="00971266"/>
    <w:rsid w:val="00986A17"/>
    <w:rsid w:val="00996AC4"/>
    <w:rsid w:val="009A5FF7"/>
    <w:rsid w:val="009A6871"/>
    <w:rsid w:val="009B21F1"/>
    <w:rsid w:val="009B2786"/>
    <w:rsid w:val="009D1D85"/>
    <w:rsid w:val="009E16F2"/>
    <w:rsid w:val="00A01DF4"/>
    <w:rsid w:val="00A215C9"/>
    <w:rsid w:val="00A30CF8"/>
    <w:rsid w:val="00A4169B"/>
    <w:rsid w:val="00A54155"/>
    <w:rsid w:val="00A65280"/>
    <w:rsid w:val="00A6775F"/>
    <w:rsid w:val="00A838DC"/>
    <w:rsid w:val="00A84AE0"/>
    <w:rsid w:val="00A9135E"/>
    <w:rsid w:val="00A9294C"/>
    <w:rsid w:val="00AA23FA"/>
    <w:rsid w:val="00AB6BA4"/>
    <w:rsid w:val="00AC33B2"/>
    <w:rsid w:val="00AC6774"/>
    <w:rsid w:val="00AD4C9C"/>
    <w:rsid w:val="00AE6487"/>
    <w:rsid w:val="00B01B88"/>
    <w:rsid w:val="00B02F94"/>
    <w:rsid w:val="00B126A7"/>
    <w:rsid w:val="00B21220"/>
    <w:rsid w:val="00B22801"/>
    <w:rsid w:val="00B24A4C"/>
    <w:rsid w:val="00B27E33"/>
    <w:rsid w:val="00B4326E"/>
    <w:rsid w:val="00B73A10"/>
    <w:rsid w:val="00B941A3"/>
    <w:rsid w:val="00B941AB"/>
    <w:rsid w:val="00BA2412"/>
    <w:rsid w:val="00C00041"/>
    <w:rsid w:val="00C15704"/>
    <w:rsid w:val="00C17395"/>
    <w:rsid w:val="00C23A87"/>
    <w:rsid w:val="00C468C3"/>
    <w:rsid w:val="00C66A8C"/>
    <w:rsid w:val="00C71423"/>
    <w:rsid w:val="00C77D66"/>
    <w:rsid w:val="00CA70DD"/>
    <w:rsid w:val="00CB16FF"/>
    <w:rsid w:val="00CB29BA"/>
    <w:rsid w:val="00CB2A01"/>
    <w:rsid w:val="00CD21BA"/>
    <w:rsid w:val="00CD328F"/>
    <w:rsid w:val="00CD4295"/>
    <w:rsid w:val="00CD4F0F"/>
    <w:rsid w:val="00CD74BD"/>
    <w:rsid w:val="00CE0BFB"/>
    <w:rsid w:val="00CE0C36"/>
    <w:rsid w:val="00CF5224"/>
    <w:rsid w:val="00D0319E"/>
    <w:rsid w:val="00D10241"/>
    <w:rsid w:val="00D31D50"/>
    <w:rsid w:val="00D42DFD"/>
    <w:rsid w:val="00D476F9"/>
    <w:rsid w:val="00D51249"/>
    <w:rsid w:val="00D5491D"/>
    <w:rsid w:val="00D67754"/>
    <w:rsid w:val="00D763B7"/>
    <w:rsid w:val="00DA521E"/>
    <w:rsid w:val="00DB1998"/>
    <w:rsid w:val="00DB267C"/>
    <w:rsid w:val="00DC08E6"/>
    <w:rsid w:val="00DD1E41"/>
    <w:rsid w:val="00DD52AA"/>
    <w:rsid w:val="00DE145A"/>
    <w:rsid w:val="00DF7E82"/>
    <w:rsid w:val="00E05633"/>
    <w:rsid w:val="00E210A0"/>
    <w:rsid w:val="00E328E5"/>
    <w:rsid w:val="00E342C9"/>
    <w:rsid w:val="00E51943"/>
    <w:rsid w:val="00E65FB9"/>
    <w:rsid w:val="00E773E2"/>
    <w:rsid w:val="00E774C6"/>
    <w:rsid w:val="00E807D3"/>
    <w:rsid w:val="00E85459"/>
    <w:rsid w:val="00E86AD3"/>
    <w:rsid w:val="00EA1489"/>
    <w:rsid w:val="00EB3586"/>
    <w:rsid w:val="00EC780B"/>
    <w:rsid w:val="00EE0CF8"/>
    <w:rsid w:val="00EE50F7"/>
    <w:rsid w:val="00EF297D"/>
    <w:rsid w:val="00EF76FE"/>
    <w:rsid w:val="00F04234"/>
    <w:rsid w:val="00F070F5"/>
    <w:rsid w:val="00F21AAA"/>
    <w:rsid w:val="00F234C6"/>
    <w:rsid w:val="00F24E77"/>
    <w:rsid w:val="00F634A7"/>
    <w:rsid w:val="00F7443F"/>
    <w:rsid w:val="00F805F0"/>
    <w:rsid w:val="00F94E57"/>
    <w:rsid w:val="00F957A8"/>
    <w:rsid w:val="00F96EC9"/>
    <w:rsid w:val="00FA233C"/>
    <w:rsid w:val="00FA792A"/>
    <w:rsid w:val="00FB39AB"/>
    <w:rsid w:val="00FC1CBF"/>
    <w:rsid w:val="00FC73A4"/>
    <w:rsid w:val="00FD35EB"/>
    <w:rsid w:val="00FE0475"/>
    <w:rsid w:val="00FF24E9"/>
    <w:rsid w:val="09FF56E8"/>
    <w:rsid w:val="11E470A0"/>
    <w:rsid w:val="1C4E296B"/>
    <w:rsid w:val="37D92952"/>
    <w:rsid w:val="437A0EFD"/>
    <w:rsid w:val="52C1180B"/>
    <w:rsid w:val="569A1942"/>
    <w:rsid w:val="573E6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21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C0D21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D21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C0D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C0D2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5C0D21"/>
    <w:rPr>
      <w:b/>
      <w:bCs/>
    </w:rPr>
  </w:style>
  <w:style w:type="character" w:styleId="a8">
    <w:name w:val="Hyperlink"/>
    <w:basedOn w:val="a0"/>
    <w:uiPriority w:val="99"/>
    <w:semiHidden/>
    <w:unhideWhenUsed/>
    <w:rsid w:val="005C0D21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qFormat/>
    <w:rsid w:val="005C0D21"/>
  </w:style>
  <w:style w:type="character" w:customStyle="1" w:styleId="Char">
    <w:name w:val="批注框文本 Char"/>
    <w:basedOn w:val="a0"/>
    <w:link w:val="a3"/>
    <w:uiPriority w:val="99"/>
    <w:semiHidden/>
    <w:rsid w:val="005C0D21"/>
    <w:rPr>
      <w:rFonts w:ascii="Tahoma" w:hAnsi="Tahoma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C0D21"/>
    <w:pPr>
      <w:widowControl w:val="0"/>
      <w:autoSpaceDE w:val="0"/>
      <w:autoSpaceDN w:val="0"/>
      <w:snapToGrid/>
      <w:spacing w:after="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159</cp:revision>
  <cp:lastPrinted>2021-06-03T04:20:00Z</cp:lastPrinted>
  <dcterms:created xsi:type="dcterms:W3CDTF">2008-09-11T17:20:00Z</dcterms:created>
  <dcterms:modified xsi:type="dcterms:W3CDTF">2023-01-11T02:15:00Z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