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bookmarkStart w:id="243" w:name="_GoBack"/>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b/>
          <w:szCs w:val="21"/>
        </w:rPr>
      </w:pPr>
      <w:r>
        <w:rPr>
          <w:rFonts w:hint="eastAsia" w:ascii="黑体" w:hAnsi="黑体" w:eastAsia="黑体"/>
          <w:b/>
          <w:sz w:val="44"/>
          <w:szCs w:val="44"/>
        </w:rPr>
        <w:t>兴银理财天天万利宝稳利净值型理财产品销售文件</w:t>
      </w:r>
    </w:p>
    <w:tbl>
      <w:tblPr>
        <w:tblStyle w:val="25"/>
        <w:tblW w:w="892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0"/>
        <w:gridCol w:w="6008"/>
        <w:gridCol w:w="192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6008"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2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兴银理财天天万利宝稳利净值型理财产品投资协议书</w:t>
            </w:r>
            <w:r>
              <w:rPr>
                <w:rFonts w:ascii="宋体" w:hAnsi="宋体"/>
                <w:kern w:val="0"/>
                <w:sz w:val="20"/>
                <w:szCs w:val="21"/>
              </w:rPr>
              <w:t xml:space="preserve"> </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兴银理财天天万利宝稳利净值型理财产品产品说明书</w:t>
            </w:r>
          </w:p>
        </w:tc>
        <w:tc>
          <w:tcPr>
            <w:tcW w:w="192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兴银理财天天万利宝稳利净值型理财产品（代理）销售协议书</w:t>
            </w:r>
          </w:p>
        </w:tc>
        <w:tc>
          <w:tcPr>
            <w:tcW w:w="192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兴银理财天天万利宝稳利净值型理财产品风险揭示书</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兴银理财天天万利宝稳利净值型理财产品投资者权益须知</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pStyle w:val="58"/>
        <w:widowControl/>
        <w:snapToGrid w:val="0"/>
        <w:spacing w:line="360" w:lineRule="auto"/>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r>
        <w:br w:type="page"/>
      </w: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兴银理财天天万利宝稳利净值型理财产品投资协议书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r>
        <w:rPr>
          <w:rFonts w:ascii="黑体" w:hAnsi="黑体" w:eastAsia="黑体"/>
          <w:b/>
          <w:sz w:val="28"/>
          <w:szCs w:val="28"/>
        </w:rPr>
        <w:t xml:space="preserve">                 </w:t>
      </w:r>
      <w:r>
        <w:rPr>
          <w:rFonts w:hint="eastAsia" w:ascii="黑体" w:hAnsi="黑体" w:eastAsia="黑体"/>
          <w:b/>
          <w:sz w:val="28"/>
          <w:szCs w:val="28"/>
        </w:rPr>
        <w:t>】</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1726"/>
      <w:bookmarkStart w:id="2" w:name="_Toc123112224"/>
      <w:bookmarkStart w:id="3" w:name="_Toc139992301"/>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39992302"/>
      <w:bookmarkStart w:id="7" w:name="_Toc123701384"/>
      <w:bookmarkStart w:id="8" w:name="_Toc123112225"/>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r>
        <w:rPr>
          <w:rStyle w:val="27"/>
          <w:rFonts w:hint="eastAsia" w:ascii="宋体" w:hAnsi="宋体"/>
          <w:sz w:val="28"/>
          <w:szCs w:val="28"/>
        </w:rPr>
        <w:t>【2022】年【</w:t>
      </w:r>
      <w:r>
        <w:rPr>
          <w:rStyle w:val="27"/>
          <w:rFonts w:ascii="宋体" w:hAnsi="宋体"/>
          <w:sz w:val="28"/>
          <w:szCs w:val="28"/>
        </w:rPr>
        <w:t>9</w:t>
      </w:r>
      <w:r>
        <w:rPr>
          <w:rStyle w:val="27"/>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w:t>
            </w:r>
            <w:r>
              <w:rPr>
                <w:rFonts w:ascii="黑体" w:hAnsi="黑体" w:eastAsia="黑体"/>
                <w:bCs/>
                <w:sz w:val="18"/>
                <w:szCs w:val="18"/>
              </w:rPr>
              <w:t>须</w:t>
            </w:r>
            <w:r>
              <w:rPr>
                <w:rFonts w:hint="eastAsia" w:ascii="黑体" w:hAnsi="黑体" w:eastAsia="黑体"/>
                <w:bCs/>
                <w:sz w:val="18"/>
                <w:szCs w:val="18"/>
              </w:rPr>
              <w:t>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报酬计提基准</w:t>
            </w:r>
            <w:r>
              <w:rPr>
                <w:rFonts w:hint="eastAsia" w:ascii="黑体" w:hAnsi="黑体" w:eastAsia="黑体"/>
                <w:bCs/>
                <w:sz w:val="18"/>
                <w:szCs w:val="18"/>
              </w:rPr>
              <w:t>等类似表述不代表投资者可能获得的实际收益，亦不构成产品管理人对本产品的任何收益承诺，仅供投资者进行投资决定时参考。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投资者在此同意并授权，产品管理人可根据监管要求和合同约定，为理财产品登记、反洗钱</w:t>
            </w:r>
            <w:r>
              <w:rPr>
                <w:rFonts w:ascii="黑体" w:hAnsi="黑体" w:eastAsia="黑体"/>
                <w:bCs/>
                <w:sz w:val="18"/>
                <w:szCs w:val="18"/>
              </w:rPr>
              <w:t>工作</w:t>
            </w:r>
            <w:r>
              <w:rPr>
                <w:rFonts w:hint="eastAsia" w:ascii="黑体" w:hAnsi="黑体" w:eastAsia="黑体"/>
                <w:bCs/>
                <w:sz w:val="18"/>
                <w:szCs w:val="18"/>
              </w:rPr>
              <w:t>等需要，向登记部门或监管机构及相关方提供投资者相关信息。</w:t>
            </w:r>
          </w:p>
          <w:p>
            <w:pPr>
              <w:pStyle w:val="21"/>
              <w:snapToGrid w:val="0"/>
              <w:spacing w:before="0" w:beforeAutospacing="0" w:after="0" w:afterAutospacing="0" w:line="360" w:lineRule="auto"/>
              <w:jc w:val="both"/>
              <w:rPr>
                <w:rFonts w:ascii="黑体" w:hAnsi="黑体" w:eastAsia="黑体"/>
                <w:bCs/>
                <w:sz w:val="18"/>
                <w:szCs w:val="18"/>
              </w:rPr>
            </w:pPr>
          </w:p>
          <w:p>
            <w:pPr>
              <w:spacing w:line="360" w:lineRule="auto"/>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spacing w:line="360" w:lineRule="auto"/>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关于理财产品咨询的提示</w:t>
            </w:r>
          </w:p>
          <w:p>
            <w:pPr>
              <w:tabs>
                <w:tab w:val="left" w:pos="8070"/>
                <w:tab w:val="right" w:pos="8306"/>
              </w:tabs>
              <w:autoSpaceDE w:val="0"/>
              <w:autoSpaceDN w:val="0"/>
              <w:adjustRightInd w:val="0"/>
              <w:snapToGrid w:val="0"/>
              <w:spacing w:before="156" w:beforeLines="50" w:line="360" w:lineRule="auto"/>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66"/>
      <w:bookmarkStart w:id="12" w:name="_Toc123112227"/>
      <w:bookmarkStart w:id="13" w:name="_Toc123701386"/>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w:t>
            </w:r>
            <w:r>
              <w:rPr>
                <w:rFonts w:ascii="宋体" w:hAnsi="宋体"/>
                <w:bCs/>
                <w:sz w:val="18"/>
                <w:szCs w:val="18"/>
              </w:rPr>
              <w:t>E</w:t>
            </w:r>
            <w:r>
              <w:rPr>
                <w:rFonts w:hint="eastAsia" w:ascii="宋体" w:hAnsi="宋体"/>
                <w:bCs/>
                <w:sz w:val="18"/>
                <w:szCs w:val="18"/>
              </w:rPr>
              <w:t>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【稳利恒盈E 6个月】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Z7002020000022</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rPr>
              <w:t>【9K218032】</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9K218032</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spacing w:line="360" w:lineRule="auto"/>
        <w:jc w:val="left"/>
        <w:rPr>
          <w:bCs/>
          <w:sz w:val="32"/>
        </w:rPr>
      </w:pPr>
      <w:r>
        <w:rPr>
          <w:rFonts w:hint="eastAsia"/>
          <w:bCs/>
          <w:sz w:val="32"/>
        </w:rPr>
        <w:t xml:space="preserve"> </w:t>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headerReference r:id="rId3" w:type="default"/>
          <w:footerReference r:id="rId4" w:type="default"/>
          <w:pgSz w:w="11906" w:h="16838"/>
          <w:pgMar w:top="1440" w:right="1800" w:bottom="1440" w:left="1800" w:header="567" w:footer="992" w:gutter="0"/>
          <w:pgNumType w:start="0"/>
          <w:cols w:space="720" w:num="1"/>
          <w:titlePg/>
          <w:docGrid w:type="lines" w:linePitch="312" w:charSpace="0"/>
        </w:sectPr>
      </w:pP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"_Toc95897036" </w:instrText>
          </w:r>
          <w:r>
            <w:fldChar w:fldCharType="separate"/>
          </w:r>
          <w:r>
            <w:rPr>
              <w:rStyle w:val="29"/>
              <w:rFonts w:hint="eastAsia"/>
            </w:rPr>
            <w:t>第一条</w:t>
          </w:r>
          <w:r>
            <w:rPr>
              <w:rStyle w:val="29"/>
            </w:rPr>
            <w:t xml:space="preserve">  </w:t>
          </w:r>
          <w:r>
            <w:rPr>
              <w:rStyle w:val="29"/>
              <w:rFonts w:hint="eastAsia"/>
            </w:rPr>
            <w:t>前言</w:t>
          </w:r>
          <w:r>
            <w:tab/>
          </w:r>
          <w:r>
            <w:fldChar w:fldCharType="begin"/>
          </w:r>
          <w:r>
            <w:instrText xml:space="preserve"> PAGEREF _Toc95897036 \h </w:instrText>
          </w:r>
          <w:r>
            <w:fldChar w:fldCharType="separate"/>
          </w:r>
          <w:r>
            <w:t>1</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"_Toc95897037" </w:instrText>
          </w:r>
          <w:r>
            <w:fldChar w:fldCharType="separate"/>
          </w:r>
          <w:r>
            <w:rPr>
              <w:rStyle w:val="29"/>
              <w:rFonts w:hint="eastAsia"/>
            </w:rPr>
            <w:t>第二条</w:t>
          </w:r>
          <w:r>
            <w:rPr>
              <w:rStyle w:val="29"/>
            </w:rPr>
            <w:t xml:space="preserve">  </w:t>
          </w:r>
          <w:r>
            <w:rPr>
              <w:rStyle w:val="29"/>
              <w:rFonts w:hint="eastAsia"/>
            </w:rPr>
            <w:t>双方权利义务</w:t>
          </w:r>
          <w:r>
            <w:tab/>
          </w:r>
          <w:r>
            <w:fldChar w:fldCharType="begin"/>
          </w:r>
          <w:r>
            <w:instrText xml:space="preserve"> PAGEREF _Toc95897037 \h </w:instrText>
          </w:r>
          <w:r>
            <w:fldChar w:fldCharType="separate"/>
          </w:r>
          <w:r>
            <w:t>2</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"_Toc95897038" </w:instrText>
          </w:r>
          <w:r>
            <w:fldChar w:fldCharType="separate"/>
          </w:r>
          <w:r>
            <w:rPr>
              <w:rStyle w:val="29"/>
              <w:rFonts w:hint="eastAsia"/>
            </w:rPr>
            <w:t>第三条</w:t>
          </w:r>
          <w:r>
            <w:rPr>
              <w:rStyle w:val="29"/>
            </w:rPr>
            <w:t xml:space="preserve">  </w:t>
          </w:r>
          <w:r>
            <w:rPr>
              <w:rStyle w:val="29"/>
              <w:rFonts w:hint="eastAsia"/>
            </w:rPr>
            <w:t>不可抗力</w:t>
          </w:r>
          <w:r>
            <w:tab/>
          </w:r>
          <w:r>
            <w:fldChar w:fldCharType="begin"/>
          </w:r>
          <w:r>
            <w:instrText xml:space="preserve"> PAGEREF _Toc95897038 \h </w:instrText>
          </w:r>
          <w:r>
            <w:fldChar w:fldCharType="separate"/>
          </w:r>
          <w:r>
            <w:t>5</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"_Toc95897039" </w:instrText>
          </w:r>
          <w:r>
            <w:fldChar w:fldCharType="separate"/>
          </w:r>
          <w:r>
            <w:rPr>
              <w:rStyle w:val="29"/>
              <w:rFonts w:hint="eastAsia"/>
            </w:rPr>
            <w:t>第四条</w:t>
          </w:r>
          <w:r>
            <w:rPr>
              <w:rStyle w:val="29"/>
            </w:rPr>
            <w:t xml:space="preserve">  </w:t>
          </w:r>
          <w:r>
            <w:rPr>
              <w:rStyle w:val="29"/>
              <w:rFonts w:hint="eastAsia"/>
            </w:rPr>
            <w:t>违约责任</w:t>
          </w:r>
          <w:r>
            <w:tab/>
          </w:r>
          <w:r>
            <w:fldChar w:fldCharType="begin"/>
          </w:r>
          <w:r>
            <w:instrText xml:space="preserve"> PAGEREF _Toc95897039 \h </w:instrText>
          </w:r>
          <w:r>
            <w:fldChar w:fldCharType="separate"/>
          </w:r>
          <w:r>
            <w:t>6</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"_Toc95897040" </w:instrText>
          </w:r>
          <w:r>
            <w:fldChar w:fldCharType="separate"/>
          </w:r>
          <w:r>
            <w:rPr>
              <w:rStyle w:val="29"/>
              <w:rFonts w:hint="eastAsia"/>
            </w:rPr>
            <w:t>第五条</w:t>
          </w:r>
          <w:r>
            <w:rPr>
              <w:rStyle w:val="29"/>
            </w:rPr>
            <w:t xml:space="preserve">  </w:t>
          </w:r>
          <w:r>
            <w:rPr>
              <w:rStyle w:val="29"/>
              <w:rFonts w:hint="eastAsia"/>
            </w:rPr>
            <w:t>法律适用和争议解决</w:t>
          </w:r>
          <w:r>
            <w:tab/>
          </w:r>
          <w:r>
            <w:fldChar w:fldCharType="begin"/>
          </w:r>
          <w:r>
            <w:instrText xml:space="preserve"> PAGEREF _Toc95897040 \h </w:instrText>
          </w:r>
          <w:r>
            <w:fldChar w:fldCharType="separate"/>
          </w:r>
          <w:r>
            <w:t>7</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"_Toc95897041" </w:instrText>
          </w:r>
          <w:r>
            <w:fldChar w:fldCharType="separate"/>
          </w:r>
          <w:r>
            <w:rPr>
              <w:rStyle w:val="29"/>
              <w:rFonts w:hint="eastAsia"/>
            </w:rPr>
            <w:t>第六条</w:t>
          </w:r>
          <w:r>
            <w:rPr>
              <w:rStyle w:val="29"/>
            </w:rPr>
            <w:t xml:space="preserve">  </w:t>
          </w:r>
          <w:r>
            <w:rPr>
              <w:rStyle w:val="29"/>
              <w:rFonts w:hint="eastAsia"/>
            </w:rPr>
            <w:t>协议的签署和效力</w:t>
          </w:r>
          <w:r>
            <w:tab/>
          </w:r>
          <w:r>
            <w:fldChar w:fldCharType="begin"/>
          </w:r>
          <w:r>
            <w:instrText xml:space="preserve"> PAGEREF _Toc95897041 \h </w:instrText>
          </w:r>
          <w:r>
            <w:fldChar w:fldCharType="separate"/>
          </w:r>
          <w:r>
            <w:t>8</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"_Toc95897042" </w:instrText>
          </w:r>
          <w:r>
            <w:fldChar w:fldCharType="separate"/>
          </w:r>
          <w:r>
            <w:rPr>
              <w:rStyle w:val="29"/>
              <w:rFonts w:hint="eastAsia"/>
            </w:rPr>
            <w:t>第七条</w:t>
          </w:r>
          <w:r>
            <w:rPr>
              <w:rStyle w:val="29"/>
            </w:rPr>
            <w:t xml:space="preserve">  </w:t>
          </w:r>
          <w:r>
            <w:rPr>
              <w:rStyle w:val="29"/>
              <w:rFonts w:hint="eastAsia"/>
            </w:rPr>
            <w:t>消费者权益保护</w:t>
          </w:r>
          <w:r>
            <w:tab/>
          </w:r>
          <w:r>
            <w:fldChar w:fldCharType="begin"/>
          </w:r>
          <w:r>
            <w:instrText xml:space="preserve"> PAGEREF _Toc95897042 \h </w:instrText>
          </w:r>
          <w:r>
            <w:fldChar w:fldCharType="separate"/>
          </w:r>
          <w:r>
            <w:t>9</w:t>
          </w:r>
          <w:r>
            <w:fldChar w:fldCharType="end"/>
          </w:r>
          <w:r>
            <w:fldChar w:fldCharType="end"/>
          </w:r>
        </w:p>
        <w:p>
          <w:pPr>
            <w:spacing w:line="360" w:lineRule="auto"/>
          </w:pPr>
          <w:r>
            <w:rPr>
              <w:b/>
              <w:bCs/>
              <w:lang w:val="zh-CN"/>
            </w:rPr>
            <w:fldChar w:fldCharType="end"/>
          </w:r>
        </w:p>
      </w:sdtContent>
    </w:sdt>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sectPr>
          <w:pgSz w:w="11906" w:h="16838"/>
          <w:pgMar w:top="1440" w:right="1800" w:bottom="1440" w:left="1800" w:header="851" w:footer="992" w:gutter="0"/>
          <w:pgNumType w:start="0"/>
          <w:cols w:space="720" w:num="1"/>
          <w:docGrid w:type="lines" w:linePitch="312" w:charSpace="0"/>
        </w:sect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68"/>
      <w:bookmarkStart w:id="15" w:name="_Toc29629"/>
      <w:bookmarkStart w:id="16" w:name="_Toc4966"/>
      <w:bookmarkStart w:id="17" w:name="_Toc26897"/>
      <w:bookmarkStart w:id="18" w:name="_Toc123112229"/>
      <w:bookmarkStart w:id="19" w:name="_Toc8727"/>
      <w:bookmarkStart w:id="20" w:name="_Toc139991730"/>
      <w:bookmarkStart w:id="21" w:name="_Toc32639"/>
      <w:bookmarkStart w:id="22" w:name="_Toc30935"/>
      <w:bookmarkStart w:id="23" w:name="_Toc123701389"/>
      <w:bookmarkStart w:id="24" w:name="_Toc6306"/>
      <w:bookmarkStart w:id="25" w:name="_Toc15517"/>
      <w:bookmarkStart w:id="26" w:name="_Toc4867"/>
      <w:bookmarkStart w:id="27" w:name="_Toc23386"/>
      <w:bookmarkStart w:id="28" w:name="_Toc141703880"/>
      <w:bookmarkStart w:id="29" w:name="_Toc88482730"/>
      <w:bookmarkStart w:id="30" w:name="_Toc95897036"/>
      <w:bookmarkStart w:id="31" w:name="_Toc74065738"/>
      <w:bookmarkStart w:id="32"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3" w:name="_Toc24860"/>
      <w:bookmarkStart w:id="34" w:name="_Toc6617"/>
      <w:bookmarkStart w:id="35" w:name="_Toc819"/>
      <w:bookmarkStart w:id="36" w:name="_Toc21301"/>
      <w:bookmarkStart w:id="37" w:name="_Toc2465"/>
      <w:bookmarkStart w:id="38" w:name="_Toc22864"/>
      <w:bookmarkStart w:id="39" w:name="_Toc13020"/>
      <w:bookmarkStart w:id="40" w:name="_Toc258829399"/>
      <w:bookmarkStart w:id="41" w:name="_Toc3224"/>
      <w:bookmarkStart w:id="42" w:name="_Toc15067"/>
      <w:bookmarkStart w:id="43" w:name="_Toc19592"/>
      <w:r>
        <w:rPr>
          <w:rFonts w:hint="eastAsia" w:ascii="Times New Roman"/>
          <w:color w:val="auto"/>
          <w:sz w:val="30"/>
        </w:rPr>
        <w:t>前言</w:t>
      </w:r>
      <w:bookmarkEnd w:id="29"/>
      <w:bookmarkEnd w:id="30"/>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、订立本投资协议书的目的是保护投资人合法权益，明确投资协议书当事人的权利义务，规范理财产品运作。</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、订立本投资协议书的依据是《中华人民共和国民法典》等法律法规、《关于规范金融机构资产管理业务的指导意见》（银发</w:t>
      </w:r>
      <w:r>
        <w:rPr>
          <w:rFonts w:asciiTheme="majorEastAsia" w:hAnsiTheme="majorEastAsia" w:eastAsiaTheme="majorEastAsia"/>
          <w:bCs/>
          <w:color w:val="auto"/>
          <w:sz w:val="18"/>
          <w:szCs w:val="18"/>
        </w:rPr>
        <w:t>[2018]106</w:t>
      </w:r>
      <w:r>
        <w:rPr>
          <w:rFonts w:hint="eastAsia" w:asciiTheme="majorEastAsia" w:hAnsiTheme="majorEastAsia" w:eastAsiaTheme="majorEastAsia"/>
          <w:bCs/>
          <w:color w:val="auto"/>
          <w:sz w:val="18"/>
          <w:szCs w:val="18"/>
        </w:rPr>
        <w:t>号）、《商业银行理财业务监督管理办法》（银保监会令</w:t>
      </w:r>
      <w:r>
        <w:rPr>
          <w:rFonts w:asciiTheme="majorEastAsia" w:hAnsiTheme="majorEastAsia" w:eastAsiaTheme="majorEastAsia"/>
          <w:bCs/>
          <w:color w:val="auto"/>
          <w:sz w:val="18"/>
          <w:szCs w:val="18"/>
        </w:rPr>
        <w:t xml:space="preserve"> </w:t>
      </w:r>
      <w:r>
        <w:rPr>
          <w:rFonts w:hint="eastAsia" w:asciiTheme="majorEastAsia" w:hAnsiTheme="majorEastAsia" w:eastAsiaTheme="majorEastAsia"/>
          <w:bCs/>
          <w:color w:val="auto"/>
          <w:sz w:val="18"/>
          <w:szCs w:val="18"/>
        </w:rPr>
        <w:t>2018年第</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号）、</w:t>
      </w:r>
      <w:bookmarkStart w:id="44" w:name="_Toc59965743"/>
      <w:r>
        <w:rPr>
          <w:rFonts w:hint="eastAsia" w:asciiTheme="majorEastAsia" w:hAnsiTheme="majorEastAsia" w:eastAsiaTheme="majorEastAsia"/>
          <w:bCs/>
          <w:color w:val="auto"/>
          <w:sz w:val="18"/>
          <w:szCs w:val="18"/>
        </w:rPr>
        <w:t>《商业银行理财子公司管理办法》</w:t>
      </w:r>
      <w:bookmarkEnd w:id="44"/>
      <w:r>
        <w:rPr>
          <w:rFonts w:hint="eastAsia" w:asciiTheme="majorEastAsia" w:hAnsiTheme="majorEastAsia" w:eastAsiaTheme="majorEastAsia"/>
          <w:bCs/>
          <w:color w:val="auto"/>
          <w:sz w:val="18"/>
          <w:szCs w:val="18"/>
        </w:rPr>
        <w:t>（银保监会令2018年第7号）、《理财公司理财产品销售管理暂行办法》（银保监会令2021年第4号）等监管规定及其他有关规定。</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、订立本投资协议书的原则是平等自愿、诚实信用、充分保护投资人合法权益。</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 xml:space="preserve"> </w:t>
      </w:r>
    </w:p>
    <w:p>
      <w:pPr>
        <w:pStyle w:val="43"/>
        <w:spacing w:line="360" w:lineRule="auto"/>
        <w:rPr>
          <w:rFonts w:asciiTheme="majorEastAsia" w:hAnsiTheme="majorEastAsia" w:eastAsiaTheme="majorEastAsia"/>
          <w:bCs/>
          <w:color w:val="auto"/>
          <w:sz w:val="18"/>
          <w:szCs w:val="18"/>
        </w:rPr>
      </w:pPr>
    </w:p>
    <w:bookmarkEnd w:id="31"/>
    <w:p>
      <w:pPr>
        <w:widowControl/>
        <w:spacing w:line="360" w:lineRule="auto"/>
        <w:jc w:val="left"/>
      </w:pPr>
      <w:r>
        <w:br w:type="page"/>
      </w:r>
    </w:p>
    <w:p>
      <w:pPr>
        <w:pStyle w:val="2"/>
        <w:spacing w:before="0" w:after="0"/>
        <w:jc w:val="center"/>
        <w:rPr>
          <w:rFonts w:ascii="Times New Roman"/>
          <w:color w:val="auto"/>
          <w:sz w:val="30"/>
        </w:rPr>
      </w:pPr>
      <w:bookmarkStart w:id="45" w:name="_Toc95897037"/>
      <w:bookmarkStart w:id="46" w:name="_Toc88482731"/>
      <w:bookmarkStart w:id="47"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5"/>
      <w:bookmarkEnd w:id="46"/>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10.</w:t>
      </w:r>
      <w:r>
        <w:rPr>
          <w:rFonts w:hint="eastAsia" w:ascii="黑体" w:hAnsi="黑体" w:eastAsia="黑体"/>
          <w:sz w:val="18"/>
          <w:szCs w:val="18"/>
        </w:rPr>
        <w:t>★</w:t>
      </w:r>
      <w:r>
        <w:rPr>
          <w:rFonts w:ascii="黑体" w:hAnsi="黑体" w:eastAsia="黑体"/>
          <w:sz w:val="18"/>
          <w:szCs w:val="18"/>
        </w:rPr>
        <w:t>未经</w:t>
      </w:r>
      <w:r>
        <w:rPr>
          <w:rFonts w:hint="eastAsia" w:ascii="黑体" w:hAnsi="黑体" w:eastAsia="黑体"/>
          <w:sz w:val="18"/>
          <w:szCs w:val="18"/>
        </w:rPr>
        <w:t>产品管理人</w:t>
      </w:r>
      <w:r>
        <w:rPr>
          <w:rFonts w:ascii="黑体" w:hAnsi="黑体" w:eastAsia="黑体"/>
          <w:sz w:val="18"/>
          <w:szCs w:val="18"/>
        </w:rPr>
        <w:t>同意，</w:t>
      </w:r>
      <w:r>
        <w:rPr>
          <w:rFonts w:hint="eastAsia" w:ascii="黑体" w:hAnsi="黑体" w:eastAsia="黑体"/>
          <w:sz w:val="18"/>
          <w:szCs w:val="18"/>
        </w:rPr>
        <w:t>投资者</w:t>
      </w:r>
      <w:r>
        <w:rPr>
          <w:rFonts w:ascii="黑体" w:hAnsi="黑体" w:eastAsia="黑体"/>
          <w:sz w:val="18"/>
          <w:szCs w:val="18"/>
        </w:rPr>
        <w:t>不得以本</w:t>
      </w:r>
      <w:r>
        <w:rPr>
          <w:rFonts w:hint="eastAsia" w:ascii="黑体" w:hAnsi="黑体" w:eastAsia="黑体"/>
          <w:sz w:val="18"/>
          <w:szCs w:val="18"/>
        </w:rPr>
        <w:t>产品</w:t>
      </w:r>
      <w:r>
        <w:rPr>
          <w:rFonts w:ascii="黑体" w:hAnsi="黑体" w:eastAsia="黑体"/>
          <w:sz w:val="18"/>
          <w:szCs w:val="18"/>
        </w:rPr>
        <w:t>项下的任何权利、利益、权益（包括单独和整体）为</w:t>
      </w:r>
      <w:r>
        <w:rPr>
          <w:rFonts w:hint="eastAsia" w:ascii="黑体" w:hAnsi="黑体" w:eastAsia="黑体"/>
          <w:sz w:val="18"/>
          <w:szCs w:val="18"/>
        </w:rPr>
        <w:t>投资者</w:t>
      </w:r>
      <w:r>
        <w:rPr>
          <w:rFonts w:ascii="黑体" w:hAnsi="黑体" w:eastAsia="黑体"/>
          <w:sz w:val="18"/>
          <w:szCs w:val="18"/>
        </w:rPr>
        <w:t>和任何第三人的债务设定担保或其他权益</w:t>
      </w:r>
      <w:r>
        <w:rPr>
          <w:rFonts w:ascii="宋体" w:hAnsi="宋体"/>
          <w:sz w:val="18"/>
          <w:szCs w:val="18"/>
        </w:rPr>
        <w:t>。</w:t>
      </w:r>
      <w:r>
        <w:rPr>
          <w:rFonts w:hint="eastAsia" w:ascii="宋体" w:hAnsi="宋体"/>
          <w:sz w:val="18"/>
          <w:szCs w:val="18"/>
        </w:rPr>
        <w:t>若投资者以本产品在兴业银行股份有限公司办理质押贷款业务时，则无需产品管理人同意。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。若投资者使用兴业银行股份有限公司提供的服务开展前述行为时，则无需产品管理人同意。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3.</w:t>
      </w:r>
      <w:r>
        <w:rPr>
          <w:rFonts w:ascii="宋体" w:hAnsi="宋体"/>
          <w:sz w:val="18"/>
          <w:szCs w:val="18"/>
        </w:rPr>
        <w:t>产品管理人应按照约定披露产品相关信息</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按照《产品说明书》约定向投资者进行理财产品份额的利益分配并将对应资金划入投资者约定账户后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2"/>
    <w:bookmarkEnd w:id="33"/>
    <w:bookmarkEnd w:id="34"/>
    <w:bookmarkEnd w:id="35"/>
    <w:bookmarkEnd w:id="36"/>
    <w:bookmarkEnd w:id="37"/>
    <w:bookmarkEnd w:id="38"/>
    <w:bookmarkEnd w:id="39"/>
    <w:bookmarkEnd w:id="40"/>
    <w:bookmarkEnd w:id="41"/>
    <w:bookmarkEnd w:id="42"/>
    <w:bookmarkEnd w:id="43"/>
    <w:bookmarkEnd w:id="47"/>
    <w:p>
      <w:pPr>
        <w:pStyle w:val="2"/>
        <w:spacing w:before="0" w:after="0"/>
        <w:jc w:val="center"/>
        <w:rPr>
          <w:rFonts w:ascii="Times New Roman"/>
          <w:sz w:val="30"/>
        </w:rPr>
      </w:pPr>
      <w:bookmarkStart w:id="48" w:name="_Toc88482732"/>
      <w:bookmarkStart w:id="49" w:name="_Toc95897038"/>
      <w:bookmarkStart w:id="50" w:name="_Toc545"/>
      <w:bookmarkStart w:id="51" w:name="_Toc22708"/>
      <w:bookmarkStart w:id="52" w:name="_Toc733"/>
      <w:bookmarkStart w:id="53" w:name="_Toc74065740"/>
      <w:bookmarkStart w:id="54" w:name="_Toc20318"/>
      <w:bookmarkStart w:id="55" w:name="_Toc18631"/>
      <w:bookmarkStart w:id="56" w:name="_Toc20627"/>
      <w:bookmarkStart w:id="57" w:name="_Toc6149"/>
      <w:bookmarkStart w:id="58" w:name="_Toc6683"/>
      <w:bookmarkStart w:id="59" w:name="_Toc24571"/>
      <w:bookmarkStart w:id="60" w:name="_Toc13288"/>
      <w:bookmarkStart w:id="61" w:name="_Toc258829400"/>
      <w:bookmarkStart w:id="62" w:name="_Toc233456272"/>
      <w:r>
        <w:rPr>
          <w:rFonts w:hint="eastAsia" w:ascii="Times New Roman"/>
          <w:color w:val="auto"/>
          <w:sz w:val="30"/>
        </w:rPr>
        <w:t>第三条</w:t>
      </w:r>
      <w:r>
        <w:rPr>
          <w:rFonts w:ascii="Times New Roman"/>
          <w:color w:val="auto"/>
          <w:sz w:val="30"/>
        </w:rPr>
        <w:t xml:space="preserve">  不可抗力</w:t>
      </w:r>
      <w:bookmarkEnd w:id="48"/>
      <w:bookmarkEnd w:id="49"/>
    </w:p>
    <w:bookmarkEnd w:id="50"/>
    <w:bookmarkEnd w:id="51"/>
    <w:bookmarkEnd w:id="52"/>
    <w:bookmarkEnd w:id="53"/>
    <w:bookmarkEnd w:id="54"/>
    <w:bookmarkEnd w:id="55"/>
    <w:bookmarkEnd w:id="56"/>
    <w:bookmarkEnd w:id="57"/>
    <w:bookmarkEnd w:id="58"/>
    <w:bookmarkEnd w:id="59"/>
    <w:bookmarkEnd w:id="60"/>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3" w:name="_Toc88482733"/>
      <w:bookmarkStart w:id="64" w:name="_Toc95897039"/>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3"/>
      <w:bookmarkEnd w:id="64"/>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5" w:name="_Toc95897040"/>
      <w:bookmarkStart w:id="66" w:name="_Toc88482734"/>
      <w:r>
        <w:rPr>
          <w:rFonts w:hint="eastAsia" w:ascii="Times New Roman"/>
          <w:color w:val="auto"/>
          <w:sz w:val="30"/>
        </w:rPr>
        <w:t>第五条</w:t>
      </w:r>
      <w:r>
        <w:rPr>
          <w:rFonts w:ascii="Times New Roman"/>
          <w:color w:val="auto"/>
          <w:sz w:val="30"/>
        </w:rPr>
        <w:t xml:space="preserve">  法律适用和争议解决</w:t>
      </w:r>
      <w:bookmarkEnd w:id="65"/>
      <w:bookmarkEnd w:id="66"/>
    </w:p>
    <w:p>
      <w:pPr>
        <w:adjustRightInd w:val="0"/>
        <w:spacing w:line="360" w:lineRule="auto"/>
        <w:ind w:firstLine="360" w:firstLineChars="20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pPr>
        <w:adjustRightInd w:val="0"/>
        <w:spacing w:line="360" w:lineRule="auto"/>
        <w:ind w:firstLine="360" w:firstLineChars="20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pPr>
        <w:adjustRightInd w:val="0"/>
        <w:spacing w:line="360" w:lineRule="auto"/>
        <w:ind w:firstLine="360" w:firstLineChars="200"/>
        <w:rPr>
          <w:rFonts w:ascii="黑体" w:hAnsi="黑体" w:eastAsia="黑体"/>
          <w:sz w:val="18"/>
          <w:szCs w:val="18"/>
        </w:rPr>
      </w:pPr>
      <w:r>
        <w:rPr>
          <w:rFonts w:hint="eastAsia" w:ascii="黑体" w:hAnsi="黑体" w:eastAsia="黑体"/>
          <w:sz w:val="18"/>
          <w:szCs w:val="18"/>
        </w:rPr>
        <w:t>（二）★争议解决</w:t>
      </w:r>
    </w:p>
    <w:p>
      <w:pPr>
        <w:adjustRightInd w:val="0"/>
        <w:spacing w:line="360" w:lineRule="auto"/>
        <w:ind w:firstLine="360" w:firstLineChars="200"/>
        <w:rPr>
          <w:rFonts w:ascii="黑体" w:hAnsi="黑体" w:eastAsia="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hint="eastAsia" w:ascii="黑体" w:hAnsi="黑体" w:eastAsia="黑体"/>
          <w:color w:val="000000" w:themeColor="text1"/>
          <w:sz w:val="18"/>
          <w:szCs w:val="18"/>
        </w:rPr>
        <w:t>如友好协商不成的，双方均同意以如下第【壹】种方式解决：</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（壹）向产品管理人住所地之人民法院提起诉讼。</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rPr>
      </w:pPr>
      <w:r>
        <w:rPr>
          <w:rFonts w:ascii="黑体" w:hAnsi="黑体" w:eastAsia="黑体"/>
          <w:color w:val="000000" w:themeColor="text1"/>
          <w:sz w:val="18"/>
          <w:szCs w:val="18"/>
        </w:rPr>
        <w:br w:type="page"/>
      </w:r>
    </w:p>
    <w:p>
      <w:pPr>
        <w:pStyle w:val="2"/>
        <w:spacing w:before="0" w:after="0"/>
        <w:jc w:val="center"/>
        <w:rPr>
          <w:rFonts w:ascii="Times New Roman"/>
          <w:b w:val="0"/>
          <w:sz w:val="30"/>
        </w:rPr>
      </w:pPr>
      <w:bookmarkStart w:id="67" w:name="_Toc88482735"/>
      <w:bookmarkStart w:id="68" w:name="_Toc95897041"/>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7"/>
      <w:bookmarkEnd w:id="68"/>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9" w:name="_Toc77953869"/>
      <w:bookmarkStart w:id="70" w:name="_Toc95897042"/>
      <w:bookmarkStart w:id="71" w:name="_Toc88482736"/>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9"/>
      <w:bookmarkEnd w:id="70"/>
      <w:bookmarkEnd w:id="71"/>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1"/>
    <w:bookmarkEnd w:id="62"/>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90"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2"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rFonts w:cs="Arial"/>
                <w:sz w:val="18"/>
                <w:szCs w:val="18"/>
              </w:rPr>
            </w:pPr>
            <w:r>
              <w:rPr>
                <w:rFonts w:hint="eastAsia" w:cs="Arial"/>
                <w:sz w:val="18"/>
                <w:szCs w:val="18"/>
              </w:rPr>
              <w:t>投资者法定代表人或授权代理人（签字或盖章）：</w:t>
            </w:r>
          </w:p>
          <w:p>
            <w:pPr>
              <w:spacing w:line="360" w:lineRule="auto"/>
              <w:rPr>
                <w:b/>
                <w:sz w:val="18"/>
                <w:szCs w:val="18"/>
              </w:rPr>
            </w:pPr>
          </w:p>
          <w:p>
            <w:pPr>
              <w:spacing w:line="360" w:lineRule="auto"/>
              <w:rPr>
                <w:sz w:val="18"/>
                <w:szCs w:val="18"/>
              </w:rPr>
            </w:pPr>
            <w:r>
              <w:rPr>
                <w:rFonts w:hint="eastAsia"/>
                <w:sz w:val="18"/>
                <w:szCs w:val="18"/>
              </w:rPr>
              <w:t>日期：</w:t>
            </w:r>
          </w:p>
        </w:tc>
      </w:tr>
    </w:tbl>
    <w:p>
      <w:pPr>
        <w:spacing w:line="360" w:lineRule="auto"/>
        <w:jc w:val="left"/>
        <w:rPr>
          <w:rFonts w:hint="eastAsia" w:ascii="宋体" w:hAnsi="宋体"/>
          <w:b/>
          <w:sz w:val="18"/>
          <w:szCs w:val="18"/>
        </w:rPr>
        <w:sectPr>
          <w:headerReference r:id="rId5" w:type="default"/>
          <w:footerReference r:id="rId6" w:type="default"/>
          <w:pgSz w:w="11906" w:h="16838"/>
          <w:pgMar w:top="1440" w:right="1800" w:bottom="1440" w:left="1800" w:header="567" w:footer="992" w:gutter="0"/>
          <w:pgNumType w:start="1"/>
          <w:cols w:space="720" w:num="1"/>
          <w:docGrid w:type="lines" w:linePitch="312" w:charSpace="0"/>
        </w:sect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Fonts w:hint="eastAsia" w:ascii="黑体" w:hAnsi="黑体" w:eastAsia="黑体"/>
          <w:b/>
          <w:sz w:val="44"/>
          <w:szCs w:val="44"/>
        </w:rPr>
        <w:t>兴银理财天天万利宝稳利净值型理财产品</w:t>
      </w: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r>
        <w:rPr>
          <w:rStyle w:val="27"/>
          <w:rFonts w:hint="eastAsia" w:ascii="宋体" w:hAnsi="宋体" w:cs="Times New Roman"/>
          <w:sz w:val="32"/>
          <w:szCs w:val="32"/>
        </w:rPr>
        <w:t>【2022】年【</w:t>
      </w:r>
      <w:r>
        <w:rPr>
          <w:rStyle w:val="27"/>
          <w:rFonts w:ascii="宋体" w:hAnsi="宋体" w:cs="Times New Roman"/>
          <w:sz w:val="32"/>
          <w:szCs w:val="32"/>
        </w:rPr>
        <w:t>9</w:t>
      </w:r>
      <w:r>
        <w:rPr>
          <w:rStyle w:val="27"/>
          <w:rFonts w:hint="eastAsia" w:ascii="宋体" w:hAnsi="宋体" w:cs="Times New Roman"/>
          <w:sz w:val="32"/>
          <w:szCs w:val="32"/>
        </w:rPr>
        <w:t>】月</w:t>
      </w:r>
    </w:p>
    <w:p>
      <w:pPr>
        <w:adjustRightInd w:val="0"/>
        <w:spacing w:line="360" w:lineRule="auto"/>
        <w:jc w:val="center"/>
        <w:rPr>
          <w:rStyle w:val="27"/>
          <w:rFonts w:ascii="宋体" w:hAnsi="宋体"/>
          <w:sz w:val="32"/>
          <w:szCs w:val="32"/>
        </w:rPr>
      </w:pPr>
    </w:p>
    <w:p>
      <w:pPr>
        <w:pStyle w:val="43"/>
        <w:spacing w:line="360" w:lineRule="auto"/>
        <w:rPr>
          <w:rFonts w:hAnsi="宋体"/>
          <w:sz w:val="28"/>
          <w:szCs w:val="28"/>
        </w:rPr>
        <w:sectPr>
          <w:footerReference r:id="rId9" w:type="first"/>
          <w:headerReference r:id="rId7" w:type="default"/>
          <w:footerReference r:id="rId8" w:type="default"/>
          <w:pgSz w:w="11906" w:h="16838"/>
          <w:pgMar w:top="1276" w:right="1800" w:bottom="1418" w:left="1800" w:header="567" w:footer="850" w:gutter="0"/>
          <w:cols w:space="425" w:num="1"/>
          <w:titlePg/>
          <w:docGrid w:type="lines" w:linePitch="312" w:charSpace="0"/>
        </w:sectPr>
      </w:pP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70"/>
            <w:spacing w:line="360" w:lineRule="auto"/>
            <w:jc w:val="center"/>
          </w:pPr>
          <w:bookmarkStart w:id="73" w:name="_Toc78276587"/>
          <w:r>
            <w:rPr>
              <w:lang w:val="zh-CN"/>
            </w:rPr>
            <w:t>目录</w:t>
          </w:r>
        </w:p>
        <w:p>
          <w:pPr>
            <w:pStyle w:val="16"/>
            <w:tabs>
              <w:tab w:val="right" w:leader="dot" w:pos="8306"/>
              <w:tab w:val="clear" w:pos="8296"/>
            </w:tabs>
          </w:pPr>
          <w:r>
            <w:fldChar w:fldCharType="begin"/>
          </w:r>
          <w:r>
            <w:instrText xml:space="preserve"> TOC \o "1-3" \h \z \u </w:instrText>
          </w:r>
          <w:r>
            <w:fldChar w:fldCharType="separate"/>
          </w:r>
          <w:r>
            <w:fldChar w:fldCharType="begin"/>
          </w:r>
          <w:r>
            <w:instrText xml:space="preserve"> HYPERLINK \l "_Toc9482"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_Toc9482 \h </w:instrText>
          </w:r>
          <w:r>
            <w:fldChar w:fldCharType="separate"/>
          </w:r>
          <w:r>
            <w:t>1</w:t>
          </w:r>
          <w:r>
            <w:fldChar w:fldCharType="end"/>
          </w:r>
          <w:r>
            <w:fldChar w:fldCharType="end"/>
          </w:r>
        </w:p>
        <w:p>
          <w:pPr>
            <w:pStyle w:val="16"/>
            <w:tabs>
              <w:tab w:val="right" w:leader="dot" w:pos="8306"/>
              <w:tab w:val="clear" w:pos="8296"/>
            </w:tabs>
          </w:pPr>
          <w:r>
            <w:fldChar w:fldCharType="begin"/>
          </w:r>
          <w:r>
            <w:instrText xml:space="preserve"> HYPERLINK \l "_Toc23998" </w:instrText>
          </w:r>
          <w:r>
            <w:fldChar w:fldCharType="separate"/>
          </w:r>
          <w:r>
            <w:rPr>
              <w:rFonts w:hint="eastAsia" w:hAnsi="宋体"/>
              <w:szCs w:val="28"/>
            </w:rPr>
            <w:t>第二条  理财产品基本情况</w:t>
          </w:r>
          <w:r>
            <w:tab/>
          </w:r>
          <w:r>
            <w:fldChar w:fldCharType="begin"/>
          </w:r>
          <w:r>
            <w:instrText xml:space="preserve"> PAGEREF _Toc23998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"_Toc15862"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_Toc15862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"_Toc28040"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_Toc28040 \h </w:instrText>
          </w:r>
          <w:r>
            <w:fldChar w:fldCharType="separate"/>
          </w:r>
          <w:r>
            <w:t>15</w:t>
          </w:r>
          <w:r>
            <w:fldChar w:fldCharType="end"/>
          </w:r>
          <w:r>
            <w:fldChar w:fldCharType="end"/>
          </w:r>
        </w:p>
        <w:p>
          <w:pPr>
            <w:pStyle w:val="16"/>
            <w:tabs>
              <w:tab w:val="right" w:leader="dot" w:pos="8306"/>
              <w:tab w:val="clear" w:pos="8296"/>
            </w:tabs>
          </w:pPr>
          <w:r>
            <w:fldChar w:fldCharType="begin"/>
          </w:r>
          <w:r>
            <w:instrText xml:space="preserve"> HYPERLINK \l "_Toc24722"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_Toc24722 \h </w:instrText>
          </w:r>
          <w:r>
            <w:fldChar w:fldCharType="separate"/>
          </w:r>
          <w:r>
            <w:t>19</w:t>
          </w:r>
          <w:r>
            <w:fldChar w:fldCharType="end"/>
          </w:r>
          <w:r>
            <w:fldChar w:fldCharType="end"/>
          </w:r>
        </w:p>
        <w:p>
          <w:pPr>
            <w:pStyle w:val="16"/>
            <w:tabs>
              <w:tab w:val="right" w:leader="dot" w:pos="8306"/>
              <w:tab w:val="clear" w:pos="8296"/>
            </w:tabs>
          </w:pPr>
          <w:r>
            <w:fldChar w:fldCharType="begin"/>
          </w:r>
          <w:r>
            <w:instrText xml:space="preserve"> HYPERLINK \l "_Toc27357"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_Toc27357 \h </w:instrText>
          </w:r>
          <w:r>
            <w:fldChar w:fldCharType="separate"/>
          </w:r>
          <w:r>
            <w:t>23</w:t>
          </w:r>
          <w:r>
            <w:fldChar w:fldCharType="end"/>
          </w:r>
          <w:r>
            <w:fldChar w:fldCharType="end"/>
          </w:r>
        </w:p>
        <w:p>
          <w:pPr>
            <w:pStyle w:val="16"/>
            <w:tabs>
              <w:tab w:val="right" w:leader="dot" w:pos="8306"/>
              <w:tab w:val="clear" w:pos="8296"/>
            </w:tabs>
          </w:pPr>
          <w:r>
            <w:fldChar w:fldCharType="begin"/>
          </w:r>
          <w:r>
            <w:instrText xml:space="preserve"> HYPERLINK \l "_Toc10162"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_Toc10162 \h </w:instrText>
          </w:r>
          <w:r>
            <w:fldChar w:fldCharType="separate"/>
          </w:r>
          <w:r>
            <w:t>24</w:t>
          </w:r>
          <w:r>
            <w:fldChar w:fldCharType="end"/>
          </w:r>
          <w:r>
            <w:fldChar w:fldCharType="end"/>
          </w:r>
        </w:p>
        <w:p>
          <w:pPr>
            <w:pStyle w:val="16"/>
            <w:tabs>
              <w:tab w:val="right" w:leader="dot" w:pos="8306"/>
              <w:tab w:val="clear" w:pos="8296"/>
            </w:tabs>
          </w:pPr>
          <w:r>
            <w:fldChar w:fldCharType="begin"/>
          </w:r>
          <w:r>
            <w:instrText xml:space="preserve"> HYPERLINK \l "_Toc3138"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_Toc3138 \h </w:instrText>
          </w:r>
          <w:r>
            <w:fldChar w:fldCharType="separate"/>
          </w:r>
          <w:r>
            <w:t>28</w:t>
          </w:r>
          <w:r>
            <w:fldChar w:fldCharType="end"/>
          </w:r>
          <w:r>
            <w:fldChar w:fldCharType="end"/>
          </w:r>
        </w:p>
        <w:p>
          <w:pPr>
            <w:pStyle w:val="16"/>
            <w:tabs>
              <w:tab w:val="right" w:leader="dot" w:pos="8306"/>
              <w:tab w:val="clear" w:pos="8296"/>
            </w:tabs>
          </w:pPr>
          <w:r>
            <w:fldChar w:fldCharType="begin"/>
          </w:r>
          <w:r>
            <w:instrText xml:space="preserve"> HYPERLINK \l "_Toc17110"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_Toc17110 \h </w:instrText>
          </w:r>
          <w:r>
            <w:fldChar w:fldCharType="separate"/>
          </w:r>
          <w:r>
            <w:t>29</w:t>
          </w:r>
          <w:r>
            <w:fldChar w:fldCharType="end"/>
          </w:r>
          <w:r>
            <w:fldChar w:fldCharType="end"/>
          </w:r>
        </w:p>
        <w:p>
          <w:pPr>
            <w:pStyle w:val="16"/>
            <w:tabs>
              <w:tab w:val="right" w:leader="dot" w:pos="8306"/>
              <w:tab w:val="clear" w:pos="8296"/>
            </w:tabs>
          </w:pPr>
          <w:r>
            <w:fldChar w:fldCharType="begin"/>
          </w:r>
          <w:r>
            <w:instrText xml:space="preserve"> HYPERLINK \l "_Toc4606"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_Toc4606 \h </w:instrText>
          </w:r>
          <w:r>
            <w:fldChar w:fldCharType="separate"/>
          </w:r>
          <w:r>
            <w:t>32</w:t>
          </w:r>
          <w:r>
            <w:fldChar w:fldCharType="end"/>
          </w:r>
          <w:r>
            <w:fldChar w:fldCharType="end"/>
          </w:r>
        </w:p>
        <w:p>
          <w:pPr>
            <w:pStyle w:val="16"/>
            <w:tabs>
              <w:tab w:val="right" w:leader="dot" w:pos="8306"/>
              <w:tab w:val="clear" w:pos="8296"/>
            </w:tabs>
          </w:pPr>
          <w:r>
            <w:fldChar w:fldCharType="begin"/>
          </w:r>
          <w:r>
            <w:instrText xml:space="preserve"> HYPERLINK \l "_Toc11469"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_Toc11469 \h </w:instrText>
          </w:r>
          <w:r>
            <w:fldChar w:fldCharType="separate"/>
          </w:r>
          <w:r>
            <w:t>34</w:t>
          </w:r>
          <w:r>
            <w:fldChar w:fldCharType="end"/>
          </w:r>
          <w:r>
            <w:fldChar w:fldCharType="end"/>
          </w:r>
        </w:p>
        <w:p>
          <w:pPr>
            <w:pStyle w:val="16"/>
            <w:tabs>
              <w:tab w:val="right" w:leader="dot" w:pos="8306"/>
              <w:tab w:val="clear" w:pos="8296"/>
            </w:tabs>
          </w:pPr>
          <w:r>
            <w:fldChar w:fldCharType="begin"/>
          </w:r>
          <w:r>
            <w:instrText xml:space="preserve"> HYPERLINK \l "_Toc24766"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_Toc24766 \h </w:instrText>
          </w:r>
          <w:r>
            <w:fldChar w:fldCharType="separate"/>
          </w:r>
          <w:r>
            <w:t>37</w:t>
          </w:r>
          <w:r>
            <w:fldChar w:fldCharType="end"/>
          </w:r>
          <w:r>
            <w:fldChar w:fldCharType="end"/>
          </w:r>
        </w:p>
        <w:p>
          <w:pPr>
            <w:spacing w:line="360" w:lineRule="auto"/>
          </w:pPr>
          <w:r>
            <w:fldChar w:fldCharType="end"/>
          </w:r>
        </w:p>
      </w:sdtContent>
    </w:sdt>
    <w:p>
      <w:pPr>
        <w:widowControl/>
        <w:spacing w:line="360" w:lineRule="auto"/>
        <w:jc w:val="left"/>
        <w:rPr>
          <w:rFonts w:ascii="Times New Roman"/>
          <w:sz w:val="30"/>
        </w:rPr>
      </w:pPr>
    </w:p>
    <w:p>
      <w:pPr>
        <w:widowControl/>
        <w:spacing w:line="360" w:lineRule="auto"/>
        <w:jc w:val="left"/>
        <w:rPr>
          <w:rFonts w:ascii="Times New Roman"/>
          <w:sz w:val="30"/>
        </w:rPr>
        <w:sectPr>
          <w:footerReference r:id="rId10" w:type="default"/>
          <w:pgSz w:w="11906" w:h="16838"/>
          <w:pgMar w:top="1276" w:right="1800" w:bottom="1418" w:left="1800" w:header="567" w:footer="850" w:gutter="0"/>
          <w:cols w:space="425" w:num="1"/>
          <w:docGrid w:type="lines" w:linePitch="312" w:charSpace="0"/>
        </w:sectPr>
      </w:pPr>
    </w:p>
    <w:p>
      <w:pPr>
        <w:pStyle w:val="2"/>
        <w:spacing w:before="0" w:after="0" w:line="360" w:lineRule="auto"/>
        <w:jc w:val="center"/>
        <w:rPr>
          <w:rFonts w:ascii="Times New Roman"/>
          <w:sz w:val="30"/>
        </w:rPr>
      </w:pPr>
      <w:bookmarkStart w:id="74" w:name="_Toc92377130"/>
      <w:bookmarkStart w:id="75" w:name="_Toc9482"/>
      <w:r>
        <w:rPr>
          <w:rFonts w:ascii="Times New Roman"/>
          <w:sz w:val="30"/>
        </w:rPr>
        <w:t>第</w:t>
      </w:r>
      <w:r>
        <w:rPr>
          <w:rFonts w:hint="eastAsia" w:ascii="Times New Roman"/>
          <w:sz w:val="30"/>
        </w:rPr>
        <w:t xml:space="preserve">一条 </w:t>
      </w:r>
      <w:r>
        <w:rPr>
          <w:rFonts w:ascii="Times New Roman"/>
          <w:sz w:val="30"/>
        </w:rPr>
        <w:t xml:space="preserve"> 释义</w:t>
      </w:r>
      <w:bookmarkEnd w:id="73"/>
      <w:bookmarkEnd w:id="74"/>
      <w:bookmarkEnd w:id="75"/>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（一）在本产品投资协议书中，除非上下文另有明确约定，下列用词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43"/>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43"/>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）适合投资者：指适合购买本产品的投资者类型。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43"/>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11</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指管理人基于过往投资经验及对产品存续期投资市场波动的预判而对本产品所设定的投资目标。</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43"/>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指管理人收取超额业绩报酬的参照相关</w:t>
      </w:r>
      <w:r>
        <w:rPr>
          <w:rFonts w:asciiTheme="majorEastAsia" w:hAnsiTheme="majorEastAsia" w:eastAsiaTheme="majorEastAsia"/>
          <w:bCs/>
          <w:color w:val="auto"/>
          <w:sz w:val="18"/>
          <w:szCs w:val="18"/>
        </w:rPr>
        <w:t>数值标准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业绩报酬计提基准不代表理财产品未来表现，不等于理财产品实际收益，不作为产品收益的业绩保证，投资须谨慎。</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w:t>
      </w:r>
      <w:r>
        <w:rPr>
          <w:rFonts w:hint="eastAsia" w:ascii="黑体" w:hAnsi="黑体" w:eastAsia="黑体" w:cs="仿宋_GB2312"/>
          <w:bCs/>
          <w:color w:val="auto"/>
          <w:sz w:val="18"/>
          <w:szCs w:val="18"/>
        </w:rPr>
        <w:t>★</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）认购：指投资者根据本协议约定在认购期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募集期内申请购买本产品理财产品份额的行为。</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指理财产品成立后，投资者申请购买理财产品份额的行为。</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指理财产品成立后，投资者申请赎回理财产品份额的行为，即投资者申请将理财产品份额兑换为现金。</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指投资者在一段特定期间内通过预约的方式提交申购申请，该申请在申购日内自动转化为正式的申购申请。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指投资者在一段特定期间内通过预约的方式提交赎回申请，该申请在赎回日内自动转化为正式的赎回申请。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下同）之和达到赎回日上一日产品总份额的约定的百分比，为巨额赎回。</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43"/>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43"/>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pPr>
        <w:pStyle w:val="43"/>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）产品存续期：指自理财产品成立日起，至理财产品终止日的期间。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15）</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43"/>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43"/>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43"/>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43"/>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43"/>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43"/>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76" w:name="_Toc79154665"/>
      <w:bookmarkStart w:id="77" w:name="_Toc92377131"/>
      <w:bookmarkStart w:id="78" w:name="_Toc23998"/>
      <w:r>
        <w:rPr>
          <w:rFonts w:hint="eastAsia" w:hAnsi="宋体"/>
          <w:sz w:val="28"/>
          <w:szCs w:val="28"/>
        </w:rPr>
        <w:t>第二条  理财产品基本情况</w:t>
      </w:r>
      <w:bookmarkEnd w:id="76"/>
      <w:bookmarkEnd w:id="77"/>
      <w:bookmarkEnd w:id="78"/>
      <w:r>
        <w:rPr>
          <w:rFonts w:hint="eastAsia" w:hAnsi="宋体"/>
          <w:sz w:val="28"/>
          <w:szCs w:val="28"/>
        </w:rPr>
        <w:t xml:space="preserve"> </w:t>
      </w:r>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w:t>
            </w:r>
            <w:r>
              <w:rPr>
                <w:rFonts w:ascii="宋体" w:hAnsi="宋体"/>
                <w:bCs/>
                <w:sz w:val="18"/>
                <w:szCs w:val="18"/>
              </w:rPr>
              <w:t>E</w:t>
            </w:r>
            <w:r>
              <w:rPr>
                <w:rFonts w:hint="eastAsia" w:ascii="宋体" w:hAnsi="宋体"/>
                <w:bCs/>
                <w:sz w:val="18"/>
                <w:szCs w:val="18"/>
              </w:rPr>
              <w:t>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宋体" w:hAnsi="宋体"/>
                <w:kern w:val="0"/>
                <w:sz w:val="22"/>
              </w:rPr>
            </w:pPr>
            <w:r>
              <w:rPr>
                <w:rFonts w:hint="eastAsia" w:ascii="宋体" w:hAnsi="宋体"/>
                <w:bCs/>
                <w:sz w:val="18"/>
                <w:szCs w:val="18"/>
              </w:rPr>
              <w:t>【稳利恒盈E 6个月】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宋体" w:hAnsi="宋体"/>
                <w:bCs/>
                <w:sz w:val="18"/>
                <w:szCs w:val="18"/>
              </w:rPr>
              <w:t>【</w:t>
            </w:r>
            <w:r>
              <w:rPr>
                <w:rFonts w:ascii="宋体" w:hAnsi="宋体"/>
                <w:bCs/>
                <w:sz w:val="18"/>
                <w:szCs w:val="18"/>
              </w:rPr>
              <w:t>Z7002020000022</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rPr>
              <w:t>【9K218032】</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hAnsi="宋体"/>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9K218032</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rPr>
            </w:pPr>
            <w:r>
              <w:rPr>
                <w:rFonts w:hint="eastAsia" w:asciiTheme="majorEastAsia" w:hAnsiTheme="majorEastAsia" w:eastAsiaTheme="majorEastAsia"/>
                <w:b/>
                <w:color w:val="000000" w:themeColor="text1"/>
                <w:sz w:val="18"/>
                <w:szCs w:val="18"/>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本产品</w:t>
            </w:r>
            <w:r>
              <w:rPr>
                <w:rFonts w:asciiTheme="majorEastAsia" w:hAnsiTheme="majorEastAsia" w:eastAsiaTheme="majorEastAsia"/>
                <w:bCs/>
                <w:color w:val="000000" w:themeColor="text1"/>
                <w:sz w:val="18"/>
                <w:szCs w:val="18"/>
              </w:rPr>
              <w:t>适合以下类型投资者：</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 xml:space="preserve">客户 </w:t>
            </w:r>
            <w:r>
              <w:rPr>
                <w:rFonts w:asciiTheme="majorEastAsia" w:hAnsiTheme="majorEastAsia" w:eastAsiaTheme="majorEastAsia"/>
                <w:bCs/>
                <w:color w:val="000000" w:themeColor="text1"/>
                <w:sz w:val="18"/>
                <w:szCs w:val="18"/>
              </w:rPr>
              <w:t xml:space="preserve">  </w:t>
            </w:r>
            <w:r>
              <w:rPr>
                <w:rFonts w:hint="eastAsia" w:asciiTheme="majorEastAsia" w:hAnsiTheme="majorEastAsia" w:eastAsiaTheme="majorEastAsia"/>
                <w:bCs/>
                <w:color w:val="000000" w:themeColor="text1"/>
                <w:sz w:val="18"/>
                <w:szCs w:val="18"/>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rPr>
            </w:pPr>
            <w:r>
              <w:rPr>
                <w:rFonts w:hint="eastAsia" w:ascii="黑体" w:hAnsi="黑体" w:eastAsia="黑体"/>
                <w:bCs/>
                <w:sz w:val="18"/>
                <w:szCs w:val="18"/>
              </w:rPr>
              <w:t>特别提示：当销售机构销售产品风险评级为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cs="仿宋_GB2312" w:asciiTheme="majorEastAsia" w:hAnsiTheme="majorEastAsia" w:eastAsiaTheme="majorEastAsia"/>
                <w:kern w:val="0"/>
                <w:sz w:val="18"/>
                <w:szCs w:val="18"/>
              </w:rPr>
              <w:t>无固定期限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：【201</w:t>
            </w:r>
            <w:r>
              <w:rPr>
                <w:rFonts w:asciiTheme="minorEastAsia" w:hAnsiTheme="minorEastAsia"/>
                <w:bCs/>
                <w:sz w:val="18"/>
                <w:szCs w:val="18"/>
              </w:rPr>
              <w:t>8</w:t>
            </w:r>
            <w:r>
              <w:rPr>
                <w:rFonts w:hint="eastAsia" w:asciiTheme="minorEastAsia" w:hAnsiTheme="minorEastAsia"/>
                <w:bCs/>
                <w:sz w:val="18"/>
                <w:szCs w:val="18"/>
              </w:rPr>
              <w:t>】年【</w:t>
            </w:r>
            <w:r>
              <w:rPr>
                <w:rFonts w:asciiTheme="minorEastAsia" w:hAnsiTheme="minorEastAsia"/>
                <w:bCs/>
                <w:sz w:val="18"/>
                <w:szCs w:val="18"/>
              </w:rPr>
              <w:t>9</w:t>
            </w:r>
            <w:r>
              <w:rPr>
                <w:rFonts w:hint="eastAsia" w:asciiTheme="minorEastAsia" w:hAnsiTheme="minorEastAsia"/>
                <w:bCs/>
                <w:sz w:val="18"/>
                <w:szCs w:val="18"/>
              </w:rPr>
              <w:t>】月【</w:t>
            </w:r>
            <w:r>
              <w:rPr>
                <w:rFonts w:asciiTheme="minorEastAsia" w:hAnsiTheme="minorEastAsia"/>
                <w:bCs/>
                <w:sz w:val="18"/>
                <w:szCs w:val="18"/>
              </w:rPr>
              <w:t>26</w:t>
            </w:r>
            <w:r>
              <w:rPr>
                <w:rFonts w:hint="eastAsia" w:asciiTheme="minorEastAsia" w:hAnsiTheme="minorEastAsia"/>
                <w:bCs/>
                <w:sz w:val="18"/>
                <w:szCs w:val="18"/>
              </w:rPr>
              <w:t>】日11:00至【201</w:t>
            </w:r>
            <w:r>
              <w:rPr>
                <w:rFonts w:asciiTheme="minorEastAsia" w:hAnsiTheme="minorEastAsia"/>
                <w:bCs/>
                <w:sz w:val="18"/>
                <w:szCs w:val="18"/>
              </w:rPr>
              <w:t>8</w:t>
            </w:r>
            <w:r>
              <w:rPr>
                <w:rFonts w:hint="eastAsia" w:asciiTheme="minorEastAsia" w:hAnsiTheme="minorEastAsia"/>
                <w:bCs/>
                <w:sz w:val="18"/>
                <w:szCs w:val="18"/>
              </w:rPr>
              <w:t>】年【</w:t>
            </w:r>
            <w:r>
              <w:rPr>
                <w:rFonts w:asciiTheme="minorEastAsia" w:hAnsiTheme="minorEastAsia"/>
                <w:bCs/>
                <w:sz w:val="18"/>
                <w:szCs w:val="18"/>
              </w:rPr>
              <w:t>9</w:t>
            </w:r>
            <w:r>
              <w:rPr>
                <w:rFonts w:hint="eastAsia" w:asciiTheme="minorEastAsia" w:hAnsiTheme="minorEastAsia"/>
                <w:bCs/>
                <w:sz w:val="18"/>
                <w:szCs w:val="18"/>
              </w:rPr>
              <w:t>】月【</w:t>
            </w:r>
            <w:r>
              <w:rPr>
                <w:rFonts w:asciiTheme="minorEastAsia" w:hAnsiTheme="minorEastAsia"/>
                <w:bCs/>
                <w:sz w:val="18"/>
                <w:szCs w:val="18"/>
              </w:rPr>
              <w:t>29</w:t>
            </w:r>
            <w:r>
              <w:rPr>
                <w:rFonts w:hint="eastAsia" w:asciiTheme="minorEastAsia" w:hAnsiTheme="minorEastAsia"/>
                <w:bCs/>
                <w:sz w:val="18"/>
                <w:szCs w:val="18"/>
              </w:rPr>
              <w:t>】日15:45</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.认购期</w:t>
            </w:r>
            <w:r>
              <w:rPr>
                <w:rFonts w:asciiTheme="minorEastAsia" w:hAnsiTheme="minorEastAsia"/>
                <w:bCs/>
                <w:sz w:val="18"/>
                <w:szCs w:val="18"/>
              </w:rPr>
              <w:t>/</w:t>
            </w:r>
            <w:r>
              <w:rPr>
                <w:rFonts w:hint="eastAsia" w:ascii="宋体" w:hAnsi="宋体"/>
                <w:bCs/>
                <w:sz w:val="18"/>
                <w:szCs w:val="18"/>
              </w:rPr>
              <w:t>募集期内资金按照活期存款利息计息，认购期/募集期内的利息不计入认购资金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w:t>
            </w:r>
            <w:r>
              <w:rPr>
                <w:rFonts w:cs="Times New Roman" w:asciiTheme="minorEastAsia" w:hAnsiTheme="minorEastAsia"/>
                <w:sz w:val="18"/>
                <w:szCs w:val="18"/>
              </w:rPr>
              <w:t>8】年【9</w:t>
            </w:r>
            <w:r>
              <w:rPr>
                <w:rFonts w:hint="eastAsia" w:cs="Times New Roman" w:asciiTheme="minorEastAsia" w:hAnsiTheme="minorEastAsia"/>
                <w:sz w:val="18"/>
                <w:szCs w:val="18"/>
              </w:rPr>
              <w:t>】月【</w:t>
            </w:r>
            <w:r>
              <w:rPr>
                <w:rFonts w:cs="Times New Roman" w:asciiTheme="minorEastAsia" w:hAnsiTheme="minorEastAsia"/>
                <w:sz w:val="18"/>
                <w:szCs w:val="18"/>
              </w:rPr>
              <w:t>30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rPr>
            </w:pPr>
            <w:r>
              <w:rPr>
                <w:rFonts w:asciiTheme="minorEastAsia" w:hAnsiTheme="minorEastAsia" w:eastAsiaTheme="minorEastAsia"/>
                <w:bCs/>
                <w:color w:val="000000" w:themeColor="text1"/>
                <w:sz w:val="18"/>
                <w:szCs w:val="18"/>
              </w:rPr>
              <w:t>1</w:t>
            </w:r>
            <w:r>
              <w:rPr>
                <w:rFonts w:asciiTheme="majorEastAsia" w:hAnsiTheme="majorEastAsia" w:eastAsiaTheme="majorEastAsia"/>
                <w:bCs/>
                <w:color w:val="000000" w:themeColor="text1"/>
                <w:sz w:val="18"/>
                <w:szCs w:val="18"/>
              </w:rPr>
              <w:t>.投资周期的设置</w:t>
            </w:r>
          </w:p>
          <w:p>
            <w:pPr>
              <w:spacing w:line="360" w:lineRule="auto"/>
              <w:rPr>
                <w:rFonts w:asciiTheme="minorEastAsia" w:hAnsiTheme="minorEastAsia" w:eastAsiaTheme="min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w:t>
            </w:r>
            <w:r>
              <w:rPr>
                <w:rFonts w:hint="eastAsia" w:asciiTheme="majorEastAsia" w:hAnsiTheme="majorEastAsia" w:eastAsiaTheme="majorEastAsia"/>
                <w:bCs/>
                <w:color w:val="000000" w:themeColor="text1"/>
                <w:sz w:val="18"/>
                <w:szCs w:val="18"/>
              </w:rPr>
              <w:t>投资周期指</w:t>
            </w:r>
            <w:r>
              <w:rPr>
                <w:rFonts w:hint="eastAsia" w:asciiTheme="minorEastAsia" w:hAnsiTheme="minorEastAsia" w:eastAsiaTheme="minorEastAsia"/>
                <w:bCs/>
                <w:color w:val="000000" w:themeColor="text1"/>
                <w:sz w:val="18"/>
                <w:szCs w:val="18"/>
              </w:rPr>
              <w:t>投资者</w:t>
            </w:r>
            <w:r>
              <w:rPr>
                <w:rFonts w:asciiTheme="minorEastAsia" w:hAnsiTheme="minorEastAsia" w:eastAsiaTheme="minorEastAsia"/>
                <w:bCs/>
                <w:color w:val="000000" w:themeColor="text1"/>
                <w:sz w:val="18"/>
                <w:szCs w:val="18"/>
              </w:rPr>
              <w:t>持有理财产品份额</w:t>
            </w:r>
            <w:r>
              <w:rPr>
                <w:rFonts w:hint="eastAsia" w:asciiTheme="minorEastAsia" w:hAnsiTheme="minorEastAsia" w:eastAsiaTheme="minorEastAsia"/>
                <w:bCs/>
                <w:color w:val="000000" w:themeColor="text1"/>
                <w:sz w:val="18"/>
                <w:szCs w:val="18"/>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rPr>
            </w:pPr>
            <w:r>
              <w:rPr>
                <w:rFonts w:hint="eastAsia" w:asciiTheme="majorEastAsia" w:hAnsiTheme="majorEastAsia" w:eastAsiaTheme="majorEastAsia"/>
                <w:bCs/>
                <w:color w:val="000000" w:themeColor="text1"/>
                <w:sz w:val="18"/>
                <w:szCs w:val="18"/>
              </w:rPr>
              <w:t>（2）每一个投资周期：包含</w:t>
            </w:r>
            <w:r>
              <w:rPr>
                <w:rFonts w:hint="eastAsia" w:cs="仿宋_GB2312" w:asciiTheme="majorEastAsia" w:hAnsiTheme="majorEastAsia" w:eastAsiaTheme="majorEastAsia"/>
                <w:color w:val="000000" w:themeColor="text1"/>
                <w:kern w:val="0"/>
                <w:sz w:val="18"/>
                <w:szCs w:val="18"/>
              </w:rPr>
              <w:t>该</w:t>
            </w:r>
            <w:r>
              <w:rPr>
                <w:rFonts w:hint="eastAsia" w:asciiTheme="majorEastAsia" w:hAnsiTheme="majorEastAsia" w:eastAsiaTheme="majorEastAsia"/>
                <w:bCs/>
                <w:color w:val="000000" w:themeColor="text1"/>
                <w:sz w:val="18"/>
                <w:szCs w:val="18"/>
              </w:rPr>
              <w:t>投资者对应产品份额的认购确认日</w:t>
            </w:r>
            <w:r>
              <w:rPr>
                <w:rFonts w:asciiTheme="majorEastAsia" w:hAnsiTheme="majorEastAsia" w:eastAsiaTheme="majorEastAsia"/>
                <w:bCs/>
                <w:color w:val="000000" w:themeColor="text1"/>
                <w:sz w:val="18"/>
                <w:szCs w:val="18"/>
              </w:rPr>
              <w:t>/申购确认日</w:t>
            </w:r>
            <w:r>
              <w:rPr>
                <w:rFonts w:hint="eastAsia" w:cs="仿宋_GB2312" w:asciiTheme="majorEastAsia" w:hAnsiTheme="majorEastAsia" w:eastAsiaTheme="majorEastAsia"/>
                <w:color w:val="000000" w:themeColor="text1"/>
                <w:kern w:val="0"/>
                <w:sz w:val="18"/>
                <w:szCs w:val="18"/>
              </w:rPr>
              <w:t>至该投资者对应产品份额的赎回确认日的期间。</w:t>
            </w:r>
          </w:p>
          <w:p>
            <w:pPr>
              <w:spacing w:line="360" w:lineRule="auto"/>
              <w:rPr>
                <w:rFonts w:asciiTheme="majorEastAsia" w:hAnsiTheme="majorEastAsia" w:eastAsiaTheme="maj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asciiTheme="minorEastAsia" w:hAnsiTheme="minorEastAsia" w:eastAsiaTheme="minorEastAsia"/>
                <w:bCs/>
                <w:color w:val="000000" w:themeColor="text1"/>
                <w:sz w:val="18"/>
                <w:szCs w:val="18"/>
              </w:rPr>
              <w:t>）</w:t>
            </w:r>
            <w:r>
              <w:rPr>
                <w:rFonts w:hint="eastAsia" w:asciiTheme="majorEastAsia" w:hAnsiTheme="majorEastAsia" w:eastAsiaTheme="majorEastAsia"/>
                <w:bCs/>
                <w:color w:val="000000" w:themeColor="text1"/>
                <w:sz w:val="18"/>
                <w:szCs w:val="18"/>
              </w:rPr>
              <w:t>正常情况下，本产品的一个投资周期为【6个月】</w:t>
            </w: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color w:val="000000" w:themeColor="text1"/>
                <w:sz w:val="18"/>
                <w:szCs w:val="18"/>
              </w:rPr>
              <w:t>投资周期存在长于或短于【6个月】的可能，投资者具体投资周期以本产品说明书“申购</w:t>
            </w:r>
            <w:r>
              <w:rPr>
                <w:rFonts w:asciiTheme="majorEastAsia" w:hAnsiTheme="majorEastAsia" w:eastAsiaTheme="majorEastAsia"/>
                <w:bCs/>
                <w:color w:val="000000" w:themeColor="text1"/>
                <w:sz w:val="18"/>
                <w:szCs w:val="18"/>
              </w:rPr>
              <w:t>/赎回安排</w:t>
            </w:r>
            <w:r>
              <w:rPr>
                <w:rFonts w:hint="eastAsia" w:asciiTheme="majorEastAsia" w:hAnsiTheme="majorEastAsia" w:eastAsiaTheme="majorEastAsia"/>
                <w:bCs/>
                <w:color w:val="000000" w:themeColor="text1"/>
                <w:sz w:val="18"/>
                <w:szCs w:val="18"/>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2.投资周期的参与</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rPr>
            </w:pP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rPr>
              <w:t>本产品</w:t>
            </w:r>
            <w:r>
              <w:rPr>
                <w:rFonts w:cs="仿宋_GB2312" w:asciiTheme="majorEastAsia" w:hAnsiTheme="majorEastAsia" w:eastAsiaTheme="majorEastAsia"/>
                <w:color w:val="000000" w:themeColor="text1"/>
                <w:kern w:val="0"/>
                <w:sz w:val="18"/>
                <w:szCs w:val="18"/>
              </w:rPr>
              <w:t>成立后管理人可根据募集情况设置预约申购期</w:t>
            </w: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在理财产品运作一个完整的投资周期</w:t>
            </w:r>
            <w:r>
              <w:rPr>
                <w:rFonts w:hint="eastAsia" w:cs="仿宋_GB2312" w:asciiTheme="majorEastAsia" w:hAnsiTheme="majorEastAsia" w:eastAsiaTheme="majorEastAsia"/>
                <w:color w:val="000000" w:themeColor="text1"/>
                <w:kern w:val="0"/>
                <w:sz w:val="18"/>
                <w:szCs w:val="18"/>
              </w:rPr>
              <w:t>结束前后，</w:t>
            </w:r>
            <w:r>
              <w:rPr>
                <w:rFonts w:cs="仿宋_GB2312" w:asciiTheme="majorEastAsia" w:hAnsiTheme="majorEastAsia" w:eastAsiaTheme="majorEastAsia"/>
                <w:color w:val="000000" w:themeColor="text1"/>
                <w:kern w:val="0"/>
                <w:sz w:val="18"/>
                <w:szCs w:val="18"/>
              </w:rPr>
              <w:t>管理人可设置预约申购期</w:t>
            </w:r>
            <w:r>
              <w:rPr>
                <w:rFonts w:hint="eastAsia" w:cs="仿宋_GB2312" w:asciiTheme="majorEastAsia" w:hAnsiTheme="majorEastAsia" w:eastAsiaTheme="majorEastAsia"/>
                <w:color w:val="000000" w:themeColor="text1"/>
                <w:kern w:val="0"/>
                <w:sz w:val="18"/>
                <w:szCs w:val="18"/>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3.投资周期的退出</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（1）本产品成立后，投资者可通过预约赎回方式退出本产品的投资周期。在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在运作一个完整的投资周期结束前，投资者可在预约赎回期内</w:t>
            </w:r>
            <w:r>
              <w:rPr>
                <w:rFonts w:asciiTheme="minorEastAsia" w:hAnsiTheme="minorEastAsia" w:eastAsiaTheme="minorEastAsia"/>
                <w:bCs/>
                <w:color w:val="000000" w:themeColor="text1"/>
                <w:sz w:val="18"/>
                <w:szCs w:val="18"/>
              </w:rPr>
              <w:t>提出预约</w:t>
            </w:r>
            <w:r>
              <w:rPr>
                <w:rFonts w:hint="eastAsia" w:asciiTheme="minorEastAsia" w:hAnsiTheme="minorEastAsia" w:eastAsiaTheme="minorEastAsia"/>
                <w:bCs/>
                <w:color w:val="000000" w:themeColor="text1"/>
                <w:sz w:val="18"/>
                <w:szCs w:val="18"/>
              </w:rPr>
              <w:t>赎回申请，如未赎回将进入下一个投资周期继续运作。</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（2）在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在运作一个完整的投资周期后，投资者</w:t>
            </w:r>
            <w:r>
              <w:rPr>
                <w:rFonts w:asciiTheme="minorEastAsia" w:hAnsiTheme="minorEastAsia" w:eastAsiaTheme="minorEastAsia"/>
                <w:bCs/>
                <w:color w:val="000000" w:themeColor="text1"/>
                <w:sz w:val="18"/>
                <w:szCs w:val="18"/>
              </w:rPr>
              <w:t>也可以继续</w:t>
            </w:r>
            <w:r>
              <w:rPr>
                <w:rFonts w:hint="eastAsia" w:asciiTheme="minorEastAsia" w:hAnsiTheme="minorEastAsia" w:eastAsiaTheme="minorEastAsia"/>
                <w:bCs/>
                <w:color w:val="000000" w:themeColor="text1"/>
                <w:sz w:val="18"/>
                <w:szCs w:val="18"/>
              </w:rPr>
              <w:t>持有理财产品份额进入</w:t>
            </w:r>
            <w:r>
              <w:rPr>
                <w:rFonts w:asciiTheme="minorEastAsia" w:hAnsiTheme="minorEastAsia" w:eastAsiaTheme="minorEastAsia"/>
                <w:bCs/>
                <w:color w:val="000000" w:themeColor="text1"/>
                <w:sz w:val="18"/>
                <w:szCs w:val="18"/>
              </w:rPr>
              <w:t>下一个投资周期</w:t>
            </w:r>
            <w:r>
              <w:rPr>
                <w:rFonts w:hint="eastAsia" w:asciiTheme="minorEastAsia" w:hAnsiTheme="minorEastAsia" w:eastAsiaTheme="minorEastAsia"/>
                <w:bCs/>
                <w:color w:val="000000" w:themeColor="text1"/>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hint="eastAsia" w:asciiTheme="majorEastAsia" w:hAnsiTheme="majorEastAsia" w:eastAsiaTheme="majorEastAsia"/>
                <w:bCs/>
                <w:sz w:val="18"/>
                <w:szCs w:val="18"/>
              </w:rPr>
              <w:t>如果投资者在本产品提前终止时仍有未赎回的份额，则产品管理人将于提前终止日将未赎回的产品</w:t>
            </w:r>
            <w:r>
              <w:rPr>
                <w:rFonts w:asciiTheme="majorEastAsia" w:hAnsiTheme="majorEastAsia" w:eastAsiaTheme="majorEastAsia"/>
                <w:bCs/>
                <w:sz w:val="18"/>
                <w:szCs w:val="18"/>
              </w:rPr>
              <w:t>份额</w:t>
            </w:r>
            <w:r>
              <w:rPr>
                <w:rFonts w:hint="eastAsia" w:asciiTheme="majorEastAsia" w:hAnsiTheme="majorEastAsia" w:eastAsiaTheme="majorEastAsia"/>
                <w:bCs/>
                <w:sz w:val="18"/>
                <w:szCs w:val="18"/>
              </w:rPr>
              <w:t>自动进行清算，于提前终止日分配理财资金，本产品终止。</w:t>
            </w:r>
          </w:p>
          <w:p>
            <w:pPr>
              <w:spacing w:line="360" w:lineRule="auto"/>
              <w:rPr>
                <w:rFonts w:ascii="黑体" w:hAnsi="黑体" w:eastAsia="黑体"/>
                <w:color w:val="000000" w:themeColor="text1"/>
                <w:sz w:val="18"/>
                <w:szCs w:val="18"/>
              </w:rPr>
            </w:pPr>
            <w:r>
              <w:rPr>
                <w:rFonts w:hint="eastAsia" w:ascii="黑体" w:hAnsi="黑体" w:eastAsia="黑体"/>
                <w:color w:val="000000" w:themeColor="text1"/>
                <w:sz w:val="18"/>
                <w:szCs w:val="18"/>
              </w:rPr>
              <w:t>4</w:t>
            </w:r>
            <w:r>
              <w:rPr>
                <w:rFonts w:ascii="黑体" w:hAnsi="黑体" w:eastAsia="黑体"/>
                <w:color w:val="000000" w:themeColor="text1"/>
                <w:sz w:val="18"/>
                <w:szCs w:val="18"/>
              </w:rPr>
              <w:t>.</w:t>
            </w:r>
            <w:r>
              <w:rPr>
                <w:rFonts w:hint="eastAsia" w:ascii="黑体" w:hAnsi="黑体" w:eastAsia="黑体"/>
                <w:color w:val="000000" w:themeColor="text1"/>
                <w:sz w:val="18"/>
                <w:szCs w:val="18"/>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rPr>
              <w:t>产品管理人有权调整投资周期，调整后的投资周期以产品管理人发布的公告中所载明的日期为准。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eastAsiaTheme="majorEastAsia"/>
                <w:bCs/>
                <w:color w:val="000000" w:themeColor="text1"/>
                <w:sz w:val="18"/>
                <w:szCs w:val="18"/>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预约申购具体安排如下：</w:t>
            </w:r>
          </w:p>
          <w:p>
            <w:pPr>
              <w:spacing w:line="360" w:lineRule="auto"/>
              <w:rPr>
                <w:rFonts w:asciiTheme="majorEastAsia" w:hAnsiTheme="majorEastAsia" w:eastAsiaTheme="majorEastAsia"/>
                <w:bCs/>
                <w:color w:val="000000" w:themeColor="text1"/>
                <w:sz w:val="18"/>
                <w:szCs w:val="18"/>
              </w:rPr>
            </w:pPr>
            <w:r>
              <w:rPr>
                <w:rFonts w:hint="eastAsia" w:cs="Times New Roman" w:asciiTheme="minorEastAsia" w:hAnsiTheme="minorEastAsia"/>
                <w:sz w:val="18"/>
                <w:szCs w:val="18"/>
              </w:rPr>
              <w:t>（1）申购的时间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□预约申购期：【2022】年【09】月【20】日11:00至【2022】年【09】月【26】日15:45；投资周期【182】天；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□预约申购期：【2022】年【09】月【27】日11:00至【2022】年【09】月【29】日15:45；投资周期【179】天；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1559" w:type="dxa"/>
                  <w:vAlign w:val="center"/>
                </w:tcPr>
                <w:p>
                  <w:pPr>
                    <w:pStyle w:val="43"/>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申购日</w:t>
                  </w:r>
                </w:p>
              </w:tc>
              <w:tc>
                <w:tcPr>
                  <w:tcW w:w="1843"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222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43"/>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1559" w:type="dxa"/>
                </w:tcPr>
                <w:p>
                  <w:pPr>
                    <w:pStyle w:val="43"/>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为预约申购期内最后一个工作日</w:t>
                  </w:r>
                </w:p>
              </w:tc>
              <w:tc>
                <w:tcPr>
                  <w:tcW w:w="1843"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2229"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cs="Times New Roman" w:asciiTheme="minorEastAsia" w:hAnsiTheme="minorEastAsia"/>
                <w:sz w:val="18"/>
                <w:szCs w:val="18"/>
              </w:rPr>
              <w:t>本产品在一个完整投资周期结束前，设置一个预约申购期；在一个完整投资周期结束后，再设置多个预约申购期。</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3</w:t>
            </w:r>
            <w:r>
              <w:rPr>
                <w:rFonts w:asciiTheme="majorEastAsia" w:hAnsiTheme="majorEastAsia" w:eastAsiaTheme="majorEastAsia"/>
                <w:bCs/>
                <w:color w:val="000000" w:themeColor="text1"/>
                <w:sz w:val="18"/>
                <w:szCs w:val="18"/>
              </w:rPr>
              <w:t>.预约</w:t>
            </w:r>
            <w:r>
              <w:rPr>
                <w:rFonts w:hint="eastAsia" w:asciiTheme="majorEastAsia" w:hAnsiTheme="majorEastAsia" w:eastAsiaTheme="majorEastAsia"/>
                <w:bCs/>
                <w:color w:val="000000" w:themeColor="text1"/>
                <w:sz w:val="18"/>
                <w:szCs w:val="18"/>
              </w:rPr>
              <w:t>赎回具体安排如下：</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（1）赎回的时间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预约赎回期：【2023】年【03】月【14】日00:00至【2023】年【03】月【27】日15:45。</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1559" w:type="dxa"/>
                  <w:vAlign w:val="center"/>
                </w:tcPr>
                <w:p>
                  <w:pPr>
                    <w:pStyle w:val="43"/>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赎回日</w:t>
                  </w:r>
                </w:p>
              </w:tc>
              <w:tc>
                <w:tcPr>
                  <w:tcW w:w="1843"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222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57" w:hRule="atLeast"/>
                <w:jc w:val="center"/>
              </w:trPr>
              <w:tc>
                <w:tcPr>
                  <w:tcW w:w="1559" w:type="dxa"/>
                </w:tcPr>
                <w:p>
                  <w:pPr>
                    <w:pStyle w:val="43"/>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1559" w:type="dxa"/>
                </w:tcPr>
                <w:p>
                  <w:pPr>
                    <w:pStyle w:val="43"/>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为预约赎回期内最后一个工作日</w:t>
                  </w:r>
                </w:p>
              </w:tc>
              <w:tc>
                <w:tcPr>
                  <w:tcW w:w="1843"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2229"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asciiTheme="majorEastAsia" w:hAnsiTheme="majorEastAsia"/>
                <w:color w:val="000000" w:themeColor="text1"/>
                <w:sz w:val="18"/>
              </w:rPr>
              <w:t>赎回</w:t>
            </w:r>
            <w:r>
              <w:rPr>
                <w:rFonts w:hint="eastAsia" w:asciiTheme="majorEastAsia" w:hAnsiTheme="majorEastAsia" w:eastAsiaTheme="majorEastAsia"/>
                <w:bCs/>
                <w:color w:val="000000" w:themeColor="text1"/>
                <w:sz w:val="18"/>
                <w:szCs w:val="18"/>
              </w:rPr>
              <w:t>款项于</w:t>
            </w:r>
            <w:r>
              <w:rPr>
                <w:rFonts w:hint="eastAsia" w:cs="Times New Roman" w:asciiTheme="minorEastAsia" w:hAnsiTheme="minorEastAsia" w:eastAsiaTheme="minorEastAsia"/>
                <w:bCs/>
                <w:kern w:val="0"/>
                <w:sz w:val="18"/>
                <w:szCs w:val="18"/>
              </w:rPr>
              <w:t>赎回</w:t>
            </w:r>
            <w:r>
              <w:rPr>
                <w:rFonts w:hint="eastAsia" w:asciiTheme="minorEastAsia" w:hAnsiTheme="minorEastAsia"/>
                <w:kern w:val="0"/>
                <w:sz w:val="18"/>
              </w:rPr>
              <w:t>日后【5】个工作日</w:t>
            </w:r>
            <w:r>
              <w:rPr>
                <w:rFonts w:hint="eastAsia" w:cs="Times New Roman" w:asciiTheme="minorEastAsia" w:hAnsiTheme="minorEastAsia" w:eastAsiaTheme="minorEastAsia"/>
                <w:bCs/>
                <w:kern w:val="0"/>
                <w:sz w:val="18"/>
                <w:szCs w:val="18"/>
              </w:rPr>
              <w:t>内支付给</w:t>
            </w:r>
            <w:r>
              <w:rPr>
                <w:rFonts w:hint="eastAsia" w:asciiTheme="minorEastAsia" w:hAnsiTheme="minorEastAsia"/>
                <w:kern w:val="0"/>
                <w:sz w:val="18"/>
              </w:rPr>
              <w:t>投资者</w:t>
            </w:r>
            <w:r>
              <w:rPr>
                <w:rFonts w:hint="eastAsia" w:cs="Times New Roman" w:asciiTheme="minorEastAsia" w:hAnsiTheme="minorEastAsia" w:eastAsiaTheme="minorEastAsia"/>
                <w:bCs/>
                <w:kern w:val="0"/>
                <w:sz w:val="18"/>
                <w:szCs w:val="18"/>
              </w:rPr>
              <w:t>。</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4.预约申购期/</w:t>
            </w:r>
            <w:r>
              <w:rPr>
                <w:rFonts w:hint="eastAsia" w:asciiTheme="majorEastAsia" w:hAnsiTheme="majorEastAsia" w:eastAsiaTheme="majorEastAsia"/>
                <w:bCs/>
                <w:color w:val="000000" w:themeColor="text1"/>
                <w:sz w:val="18"/>
                <w:szCs w:val="18"/>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5</w:t>
            </w:r>
            <w:r>
              <w:rPr>
                <w:rFonts w:hint="eastAsia" w:asciiTheme="majorEastAsia" w:hAnsiTheme="majorEastAsia" w:eastAsiaTheme="majorEastAsia"/>
                <w:bCs/>
                <w:color w:val="000000" w:themeColor="text1"/>
                <w:sz w:val="18"/>
                <w:szCs w:val="18"/>
              </w:rPr>
              <w:t>.</w:t>
            </w:r>
            <w:r>
              <w:rPr>
                <w:rFonts w:hint="eastAsia" w:cs="Times New Roman" w:asciiTheme="minorEastAsia" w:hAnsiTheme="minorEastAsia"/>
                <w:sz w:val="18"/>
                <w:szCs w:val="18"/>
              </w:rPr>
              <w:t>本产品在一个完整投资周期结束前，由产品</w:t>
            </w:r>
            <w:r>
              <w:rPr>
                <w:rFonts w:cs="Times New Roman" w:asciiTheme="minorEastAsia" w:hAnsiTheme="minorEastAsia"/>
                <w:sz w:val="18"/>
                <w:szCs w:val="18"/>
              </w:rPr>
              <w:t>管理人</w:t>
            </w:r>
            <w:r>
              <w:rPr>
                <w:rFonts w:hint="eastAsia" w:cs="Times New Roman" w:asciiTheme="minorEastAsia" w:hAnsiTheme="minorEastAsia"/>
                <w:sz w:val="18"/>
                <w:szCs w:val="18"/>
              </w:rPr>
              <w:t>更新产品说明书，约定下一个完整投资周期对应的</w:t>
            </w:r>
            <w:r>
              <w:rPr>
                <w:rFonts w:asciiTheme="majorEastAsia" w:hAnsiTheme="majorEastAsia" w:eastAsiaTheme="majorEastAsia"/>
                <w:bCs/>
                <w:color w:val="000000" w:themeColor="text1"/>
                <w:sz w:val="18"/>
                <w:szCs w:val="18"/>
              </w:rPr>
              <w:t>预约申购期/</w:t>
            </w:r>
            <w:r>
              <w:rPr>
                <w:rFonts w:hint="eastAsia" w:asciiTheme="majorEastAsia" w:hAnsiTheme="majorEastAsia" w:eastAsiaTheme="majorEastAsia"/>
                <w:bCs/>
                <w:color w:val="000000" w:themeColor="text1"/>
                <w:sz w:val="18"/>
                <w:szCs w:val="18"/>
              </w:rPr>
              <w:t>预约赎回期。</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注：关于代理销售机构的实际工作服务时段的提示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②代理销售机构的实际工作服务时段，最早不得早于销售文件约定</w:t>
            </w:r>
            <w:r>
              <w:rPr>
                <w:rFonts w:ascii="黑体" w:hAnsi="黑体" w:eastAsia="黑体"/>
                <w:bCs/>
                <w:color w:val="000000" w:themeColor="text1"/>
                <w:sz w:val="18"/>
                <w:szCs w:val="18"/>
              </w:rPr>
              <w:t>的</w:t>
            </w:r>
            <w:r>
              <w:rPr>
                <w:rFonts w:hint="eastAsia" w:ascii="黑体" w:hAnsi="黑体" w:eastAsia="黑体"/>
                <w:bCs/>
                <w:color w:val="000000" w:themeColor="text1"/>
                <w:sz w:val="18"/>
                <w:szCs w:val="18"/>
              </w:rPr>
              <w:t>起始时点、最晚不得晚于销售文件</w:t>
            </w:r>
            <w:r>
              <w:rPr>
                <w:rFonts w:ascii="黑体" w:hAnsi="黑体" w:eastAsia="黑体"/>
                <w:bCs/>
                <w:color w:val="000000" w:themeColor="text1"/>
                <w:sz w:val="18"/>
                <w:szCs w:val="18"/>
              </w:rPr>
              <w:t>约定的</w:t>
            </w:r>
            <w:r>
              <w:rPr>
                <w:rFonts w:hint="eastAsia" w:ascii="黑体" w:hAnsi="黑体" w:eastAsia="黑体"/>
                <w:bCs/>
                <w:color w:val="000000" w:themeColor="text1"/>
                <w:sz w:val="18"/>
                <w:szCs w:val="18"/>
              </w:rPr>
              <w:t>终止时点</w:t>
            </w:r>
            <w:r>
              <w:rPr>
                <w:rFonts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关于代理销售机构的实际销售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rPr>
              <w:t>②代理销售机构的实际销售起点金额，</w:t>
            </w:r>
            <w:r>
              <w:rPr>
                <w:rFonts w:ascii="黑体" w:hAnsi="黑体" w:eastAsia="黑体"/>
                <w:bCs/>
                <w:color w:val="000000" w:themeColor="text1"/>
                <w:sz w:val="18"/>
                <w:szCs w:val="18"/>
              </w:rPr>
              <w:t>不得低于</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文件约定的</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43"/>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43"/>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43"/>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本产品单一投资者持有份额不得超过产品总份额50%。</w:t>
            </w:r>
          </w:p>
          <w:p>
            <w:pPr>
              <w:pStyle w:val="43"/>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（1）投资者认购或申购确认后可能导致其持有份额超过产品总份额50%的，管理人有权拒绝或暂停认购、申购。</w:t>
            </w:r>
          </w:p>
          <w:p>
            <w:pPr>
              <w:pStyle w:val="43"/>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43"/>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日之前的估值日公布的产品份额净值已扣除交易手续费、销售服务费、产品托管费、投资管理费。</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rPr>
                <w:rFonts w:asciiTheme="majorEastAsia" w:hAnsiTheme="majorEastAsia"/>
                <w:bCs/>
                <w:sz w:val="18"/>
                <w:szCs w:val="18"/>
              </w:rPr>
            </w:pPr>
            <w:r>
              <w:rPr>
                <w:rFonts w:hint="eastAsia" w:ascii="宋体" w:hAnsi="宋体"/>
                <w:b/>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以一年期定期存款利率为无风险利率，基于当前对未来市场的判断，根据拟投资固定收益类资产的信用利差、久期敞口以及流动性溢价，预判组合的波动幅度，设定业绩基准。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b/>
                <w:sz w:val="18"/>
              </w:rPr>
              <w:t>管理人对</w:t>
            </w:r>
            <w:r>
              <w:rPr>
                <w:rFonts w:asciiTheme="majorEastAsia" w:hAnsiTheme="majorEastAsia"/>
                <w:b/>
                <w:sz w:val="18"/>
              </w:rPr>
              <w:t>本产品设定</w:t>
            </w:r>
            <w:r>
              <w:rPr>
                <w:rFonts w:hint="eastAsia" w:asciiTheme="majorEastAsia" w:hAnsiTheme="majorEastAsia"/>
                <w:b/>
                <w:sz w:val="18"/>
              </w:rPr>
              <w:t>业绩比较基准：年化</w:t>
            </w:r>
            <w:r>
              <w:rPr>
                <w:rFonts w:hint="eastAsia" w:ascii="宋体" w:hAnsi="宋体"/>
                <w:b/>
                <w:bCs/>
                <w:sz w:val="18"/>
                <w:szCs w:val="18"/>
              </w:rPr>
              <w:t>【3.00-4.00%</w:t>
            </w:r>
            <w:r>
              <w:rPr>
                <w:rFonts w:ascii="宋体" w:hAnsi="宋体"/>
                <w:b/>
                <w:bCs/>
                <w:sz w:val="18"/>
                <w:szCs w:val="18"/>
              </w:rPr>
              <w:t>】</w:t>
            </w:r>
            <w:r>
              <w:rPr>
                <w:rFonts w:hint="eastAsia" w:ascii="宋体" w:hAnsi="宋体"/>
                <w:b/>
                <w:bCs/>
                <w:sz w:val="18"/>
                <w:szCs w:val="18"/>
              </w:rPr>
              <w:t>。</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（1）业绩比较基准不代表理财产品未来表现，不等于理财产品实际收益，不作为产品收益的业绩保证，投资须谨慎。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管理人对本产品设定业绩报酬计提基准：【业绩比较基准上限】。</w:t>
            </w:r>
          </w:p>
          <w:p>
            <w:pPr>
              <w:spacing w:line="360" w:lineRule="auto"/>
              <w:jc w:val="left"/>
              <w:rPr>
                <w:rFonts w:ascii="宋体" w:hAnsi="宋体"/>
                <w:b/>
                <w:bCs/>
                <w:sz w:val="18"/>
                <w:szCs w:val="18"/>
              </w:rPr>
            </w:pPr>
            <w:r>
              <w:rPr>
                <w:rFonts w:hint="eastAsia" w:ascii="宋体" w:hAnsi="宋体"/>
                <w:b/>
                <w:bCs/>
                <w:sz w:val="18"/>
                <w:szCs w:val="18"/>
              </w:rPr>
              <w:t>业绩报酬计提基准仅作为管理人收取超额业绩报酬的参照数值标准，不代表理财产品未来表现，不等于理财产品实际收益，不作为产品收益的业绩保证，投资须谨慎。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hint="eastAsia" w:ascii="宋体" w:hAnsi="宋体"/>
                <w:b/>
                <w:bCs/>
                <w:color w:val="000000" w:themeColor="text1"/>
                <w:sz w:val="18"/>
                <w:szCs w:val="18"/>
              </w:rPr>
              <w:t>认购费：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hint="eastAsia" w:ascii="宋体" w:hAnsi="宋体"/>
                <w:bCs/>
                <w:color w:val="000000" w:themeColor="text1"/>
                <w:sz w:val="18"/>
                <w:szCs w:val="18"/>
              </w:rPr>
              <w:t>【/】</w:t>
            </w:r>
            <w:r>
              <w:rPr>
                <w:rFonts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hint="eastAsia" w:ascii="宋体" w:hAnsi="宋体"/>
                <w:b/>
                <w:bCs/>
                <w:color w:val="000000" w:themeColor="text1"/>
                <w:sz w:val="18"/>
                <w:szCs w:val="18"/>
              </w:rPr>
              <w:t>赎回费：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Theme="majorEastAsia" w:hAnsiTheme="majorEastAsia" w:eastAsiaTheme="majorEastAsia"/>
                <w:b/>
                <w:bCs/>
                <w:color w:val="000000" w:themeColor="text1"/>
                <w:sz w:val="18"/>
                <w:szCs w:val="18"/>
              </w:rPr>
              <w:t>4.销售服</w:t>
            </w:r>
            <w:r>
              <w:rPr>
                <w:rFonts w:hint="eastAsia" w:ascii="宋体" w:hAnsi="宋体"/>
                <w:b/>
                <w:bCs/>
                <w:color w:val="000000" w:themeColor="text1"/>
                <w:sz w:val="18"/>
                <w:szCs w:val="18"/>
              </w:rPr>
              <w:t>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hint="eastAsia" w:ascii="宋体" w:hAnsi="宋体"/>
                <w:b/>
                <w:bCs/>
                <w:color w:val="000000" w:themeColor="text1"/>
                <w:sz w:val="18"/>
                <w:szCs w:val="18"/>
              </w:rPr>
              <w:t>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20】</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hint="eastAsia" w:ascii="宋体" w:hAnsi="宋体"/>
                <w:b/>
                <w:bCs/>
                <w:color w:val="000000" w:themeColor="text1"/>
                <w:sz w:val="18"/>
                <w:szCs w:val="18"/>
              </w:rPr>
              <w:t>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widowControl/>
              <w:spacing w:line="360" w:lineRule="auto"/>
              <w:jc w:val="left"/>
              <w:rPr>
                <w:rFonts w:ascii="宋体" w:hAnsi="宋体"/>
                <w:b/>
                <w:bCs/>
                <w:color w:val="000000" w:themeColor="text1"/>
                <w:sz w:val="18"/>
                <w:szCs w:val="18"/>
              </w:rPr>
            </w:pPr>
            <w:r>
              <w:rPr>
                <w:rFonts w:hint="eastAsia" w:ascii="宋体" w:hAnsi="宋体"/>
                <w:b/>
                <w:bCs/>
                <w:color w:val="000000" w:themeColor="text1"/>
                <w:sz w:val="18"/>
                <w:szCs w:val="18"/>
              </w:rPr>
              <w:t>7</w:t>
            </w:r>
            <w:r>
              <w:rPr>
                <w:rFonts w:ascii="宋体" w:hAnsi="宋体"/>
                <w:b/>
                <w:bCs/>
                <w:color w:val="000000" w:themeColor="text1"/>
                <w:sz w:val="18"/>
                <w:szCs w:val="18"/>
              </w:rPr>
              <w:t>.</w:t>
            </w:r>
            <w:r>
              <w:rPr>
                <w:rFonts w:hint="eastAsia" w:ascii="宋体" w:hAnsi="宋体"/>
                <w:b/>
                <w:bCs/>
                <w:color w:val="000000" w:themeColor="text1"/>
                <w:sz w:val="18"/>
                <w:szCs w:val="18"/>
              </w:rPr>
              <w:t>超额业绩报酬：</w:t>
            </w:r>
          </w:p>
          <w:p>
            <w:pPr>
              <w:widowControl/>
              <w:spacing w:line="360" w:lineRule="auto"/>
              <w:jc w:val="left"/>
              <w:rPr>
                <w:rFonts w:ascii="宋体" w:hAnsi="宋体"/>
                <w:sz w:val="18"/>
                <w:szCs w:val="18"/>
              </w:rPr>
            </w:pPr>
            <w:r>
              <w:rPr>
                <w:rFonts w:hint="eastAsia" w:ascii="宋体" w:hAnsi="宋体"/>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8</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43"/>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79" w:name="_Toc92377132"/>
      <w:bookmarkStart w:id="80" w:name="_Toc79154666"/>
      <w:bookmarkStart w:id="81" w:name="_Toc15862"/>
      <w:r>
        <w:rPr>
          <w:rFonts w:ascii="Times New Roman"/>
          <w:sz w:val="30"/>
        </w:rPr>
        <w:t>第</w:t>
      </w:r>
      <w:r>
        <w:rPr>
          <w:rFonts w:hint="eastAsia" w:ascii="Times New Roman"/>
          <w:sz w:val="30"/>
        </w:rPr>
        <w:t>三条</w:t>
      </w:r>
      <w:r>
        <w:rPr>
          <w:rFonts w:ascii="Times New Roman"/>
          <w:sz w:val="30"/>
        </w:rPr>
        <w:t xml:space="preserve">  </w:t>
      </w:r>
      <w:bookmarkStart w:id="82" w:name="_Toc79392573"/>
      <w:r>
        <w:rPr>
          <w:rFonts w:hint="eastAsia" w:ascii="Times New Roman"/>
          <w:sz w:val="30"/>
        </w:rPr>
        <w:t>理财产品的认购</w:t>
      </w:r>
      <w:bookmarkEnd w:id="79"/>
      <w:bookmarkEnd w:id="80"/>
      <w:bookmarkEnd w:id="81"/>
    </w:p>
    <w:p>
      <w:pPr>
        <w:spacing w:line="360" w:lineRule="auto"/>
        <w:ind w:firstLine="361" w:firstLineChars="200"/>
        <w:rPr>
          <w:rFonts w:asciiTheme="minorEastAsia" w:hAnsiTheme="minorEastAsia"/>
          <w:b/>
          <w:bCs/>
          <w:sz w:val="18"/>
          <w:szCs w:val="18"/>
        </w:rPr>
      </w:pPr>
      <w:bookmarkStart w:id="83" w:name="_Hlt88031774"/>
      <w:bookmarkEnd w:id="83"/>
      <w:bookmarkStart w:id="84"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w:t>
      </w:r>
      <w:r>
        <w:rPr>
          <w:rFonts w:asciiTheme="minorEastAsia" w:hAnsiTheme="minorEastAsia"/>
          <w:bCs/>
          <w:color w:val="auto"/>
          <w:sz w:val="18"/>
          <w:szCs w:val="18"/>
        </w:rPr>
        <w:t>产品管理人</w:t>
      </w:r>
      <w:r>
        <w:rPr>
          <w:rFonts w:hint="eastAsia" w:asciiTheme="minorEastAsia" w:hAnsiTheme="minorEastAsia"/>
          <w:bCs/>
          <w:color w:val="auto"/>
          <w:sz w:val="18"/>
          <w:szCs w:val="18"/>
        </w:rPr>
        <w:t>可受理投资者提交的认购申请。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43"/>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.认购的起点和追加金额</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spacing w:line="360" w:lineRule="auto"/>
        <w:ind w:firstLine="360" w:firstLineChars="200"/>
        <w:rPr>
          <w:rFonts w:asciiTheme="minorEastAsia" w:hAnsiTheme="minorEastAsia"/>
          <w:bCs/>
          <w:sz w:val="18"/>
          <w:szCs w:val="18"/>
        </w:rPr>
      </w:pPr>
      <w:r>
        <w:rPr>
          <w:rFonts w:hint="eastAsia" w:asciiTheme="minorEastAsia" w:hAnsiTheme="minor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hint="eastAsia" w:asciiTheme="minorEastAsia" w:hAnsiTheme="minorEastAsia"/>
          <w:bCs/>
          <w:sz w:val="18"/>
          <w:szCs w:val="18"/>
        </w:rPr>
        <w:t>进入理财运作，不计算理财利益。</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43"/>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85" w:name="_Toc92377133"/>
      <w:bookmarkStart w:id="86" w:name="_Toc28040"/>
      <w:bookmarkStart w:id="87" w:name="_Toc7915466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85"/>
      <w:bookmarkEnd w:id="86"/>
      <w:bookmarkEnd w:id="87"/>
    </w:p>
    <w:bookmarkEnd w:id="84"/>
    <w:p>
      <w:pPr>
        <w:spacing w:line="360" w:lineRule="auto"/>
        <w:ind w:firstLine="420" w:firstLineChars="200"/>
      </w:pP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43"/>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预约申购期内产品管理人可受理投资者提交的预约申购申请。</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43"/>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43"/>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申购的起点和追加金额</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43"/>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预约赎回期内产品管理人可受理投资者提交的预约赎回申请。</w:t>
      </w:r>
      <w:r>
        <w:rPr>
          <w:rFonts w:hint="eastAsia" w:asciiTheme="majorEastAsia" w:hAnsiTheme="majorEastAsia" w:eastAsiaTheme="majorEastAsia"/>
          <w:color w:val="auto"/>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43"/>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（四）</w:t>
      </w:r>
      <w:r>
        <w:rPr>
          <w:rFonts w:hint="eastAsia" w:asciiTheme="majorEastAsia" w:hAnsiTheme="majorEastAsia" w:eastAsiaTheme="majorEastAsia"/>
          <w:b/>
          <w:color w:val="auto"/>
          <w:sz w:val="18"/>
          <w:szCs w:val="18"/>
        </w:rPr>
        <w:t>申购与赎回的原则</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（五）拒绝或暂停申购的情形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（六）暂停赎回或延缓支付赎回款项的情形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（七）巨额赎回的情形及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43"/>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（八）日期遇非工作日的调整</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（九）投资者持有理财份额的限额和理财产品总规模限额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82"/>
    <w:p>
      <w:pPr>
        <w:pStyle w:val="2"/>
        <w:spacing w:before="0" w:after="0" w:line="360" w:lineRule="auto"/>
        <w:jc w:val="center"/>
        <w:rPr>
          <w:rFonts w:ascii="Times New Roman"/>
          <w:sz w:val="30"/>
        </w:rPr>
      </w:pPr>
      <w:bookmarkStart w:id="88" w:name="_Toc27226"/>
      <w:bookmarkStart w:id="89" w:name="_Toc90742390"/>
      <w:bookmarkStart w:id="90" w:name="_Toc29784"/>
      <w:bookmarkStart w:id="91" w:name="_Toc90742321"/>
      <w:bookmarkStart w:id="92" w:name="_Toc79154668"/>
      <w:bookmarkStart w:id="93" w:name="_Toc29948"/>
      <w:bookmarkStart w:id="94" w:name="_Toc22074"/>
      <w:bookmarkStart w:id="95" w:name="_Toc27189"/>
      <w:bookmarkStart w:id="96" w:name="_Toc16265"/>
      <w:bookmarkStart w:id="97" w:name="_Toc6714"/>
      <w:bookmarkStart w:id="98" w:name="_Toc15203"/>
      <w:bookmarkStart w:id="99" w:name="_Toc24722"/>
      <w:bookmarkStart w:id="100" w:name="_Toc3266"/>
      <w:bookmarkStart w:id="101" w:name="_Toc90742688"/>
      <w:bookmarkStart w:id="102" w:name="_Toc7151"/>
      <w:bookmarkStart w:id="103" w:name="_Toc74065741"/>
      <w:bookmarkStart w:id="104" w:name="_Toc9237713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在严格控制组合风险的前提下，通过不断优化组合，力争实现超越业绩比较基准的收益。</w:t>
      </w:r>
    </w:p>
    <w:p>
      <w:pPr>
        <w:pStyle w:val="43"/>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（3）符合监管要求的债权类资产。</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（4）以套期保值为目的的国债期货、利率互换、</w:t>
      </w:r>
      <w:r>
        <w:rPr>
          <w:rFonts w:hint="eastAsia" w:asciiTheme="majorEastAsia" w:hAnsiTheme="majorEastAsia" w:eastAsiaTheme="majorEastAsia"/>
          <w:bCs/>
          <w:color w:val="000000" w:themeColor="text1"/>
          <w:sz w:val="18"/>
          <w:szCs w:val="18"/>
        </w:rPr>
        <w:t>信用风险缓释工具、</w:t>
      </w:r>
      <w:r>
        <w:rPr>
          <w:rFonts w:hint="eastAsia" w:asciiTheme="majorEastAsia" w:hAnsiTheme="majorEastAsia" w:eastAsiaTheme="majorEastAsia"/>
          <w:bCs/>
          <w:sz w:val="18"/>
          <w:szCs w:val="18"/>
        </w:rPr>
        <w:t>债券借贷。</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（6）其他风险不高于前述资产的资产。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本产品投资于固定收益类资产的比例不低于产品总资产的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符合监管要求的非标准化债权类资产低于产品总资产的50%。</w:t>
      </w:r>
    </w:p>
    <w:p>
      <w:pPr>
        <w:pStyle w:val="43"/>
        <w:spacing w:line="360" w:lineRule="auto"/>
        <w:ind w:firstLine="423" w:firstLineChars="235"/>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kern w:val="2"/>
          <w:sz w:val="18"/>
          <w:szCs w:val="18"/>
        </w:rPr>
        <w:t>（3）</w:t>
      </w:r>
      <w:r>
        <w:rPr>
          <w:rFonts w:hint="eastAsia" w:asciiTheme="majorEastAsia" w:hAnsiTheme="majorEastAsia" w:eastAsiaTheme="majorEastAsia"/>
          <w:bCs/>
          <w:sz w:val="18"/>
          <w:szCs w:val="18"/>
        </w:rPr>
        <w:t>国债期货、利率互换、信用风险缓释工具等衍生品</w:t>
      </w:r>
      <w:r>
        <w:rPr>
          <w:rFonts w:hint="eastAsia" w:asciiTheme="majorEastAsia" w:hAnsiTheme="majorEastAsia" w:eastAsiaTheme="majorEastAsia"/>
          <w:bCs/>
          <w:color w:val="000000" w:themeColor="text1"/>
          <w:kern w:val="2"/>
          <w:sz w:val="18"/>
          <w:szCs w:val="18"/>
        </w:rPr>
        <w:t>占产品总资产比例低于20%。</w:t>
      </w:r>
    </w:p>
    <w:p>
      <w:pPr>
        <w:autoSpaceDE w:val="0"/>
        <w:autoSpaceDN w:val="0"/>
        <w:adjustRightInd w:val="0"/>
        <w:spacing w:line="360" w:lineRule="auto"/>
        <w:ind w:firstLine="361" w:firstLineChars="200"/>
        <w:jc w:val="left"/>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.如果法律法规对本协议约定投资组合比例限制进行变更的，以变更后的规定为准。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使产品的投资组合比例符合本协议的有关约定，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应当符合本协议</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43"/>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协议</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43"/>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（9）本产品投资资产组合久期不超过【5】年。</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（10）本产品投资的各类债券主体（发行人或担保人）或债项评级达到AA级（含）以上。</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w:t>
      </w:r>
      <w:r>
        <w:rPr>
          <w:rFonts w:asciiTheme="majorEastAsia" w:hAnsiTheme="majorEastAsia" w:eastAsiaTheme="majorEastAsia"/>
          <w:bCs/>
          <w:sz w:val="18"/>
          <w:szCs w:val="18"/>
        </w:rPr>
        <w:t>10个交易日内调整至符合要求，监管机构规定的特殊情形除外。本</w:t>
      </w:r>
      <w:r>
        <w:rPr>
          <w:rFonts w:hint="eastAsia" w:asciiTheme="majorEastAsia" w:hAnsiTheme="majorEastAsia" w:eastAsiaTheme="majorEastAsia"/>
          <w:bCs/>
          <w:kern w:val="0"/>
          <w:sz w:val="18"/>
          <w:szCs w:val="18"/>
        </w:rPr>
        <w:t>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协议</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通过对经济基本面、企业盈利、无风险利率水平、资金面等因素进行定性和定量分析，根据产品的业绩目标和回撤目标制定各个阶段产品股债投资比例。</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 xml:space="preserve">（五）业绩比较基准 </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 xml:space="preserve"> 产品管理人</w:t>
      </w:r>
      <w:r>
        <w:rPr>
          <w:rFonts w:hint="eastAsia" w:asciiTheme="majorEastAsia" w:hAnsiTheme="majorEastAsia" w:eastAsiaTheme="majorEastAsia"/>
          <w:sz w:val="18"/>
          <w:szCs w:val="18"/>
        </w:rPr>
        <w:t>设置</w:t>
      </w:r>
      <w:r>
        <w:rPr>
          <w:rFonts w:asciiTheme="majorEastAsia" w:hAnsiTheme="majorEastAsia" w:eastAsiaTheme="majorEastAsia"/>
          <w:sz w:val="18"/>
          <w:szCs w:val="18"/>
        </w:rPr>
        <w:t>业绩比较基准</w:t>
      </w:r>
      <w:r>
        <w:rPr>
          <w:rFonts w:hint="eastAsia" w:asciiTheme="majorEastAsia" w:hAnsiTheme="majorEastAsia" w:eastAsiaTheme="majorEastAsia"/>
          <w:sz w:val="18"/>
          <w:szCs w:val="18"/>
        </w:rPr>
        <w:t>。</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1.产品管理人设置业绩比较基准</w:t>
      </w:r>
      <w:r>
        <w:rPr>
          <w:rFonts w:asciiTheme="majorEastAsia" w:hAnsiTheme="majorEastAsia" w:eastAsiaTheme="majorEastAsia"/>
          <w:sz w:val="18"/>
          <w:szCs w:val="18"/>
        </w:rPr>
        <w:t>并</w:t>
      </w:r>
      <w:r>
        <w:rPr>
          <w:rFonts w:hint="eastAsia" w:asciiTheme="majorEastAsia" w:hAnsiTheme="majorEastAsia" w:eastAsiaTheme="majorEastAsia"/>
          <w:sz w:val="18"/>
          <w:szCs w:val="18"/>
        </w:rPr>
        <w:t>进行</w:t>
      </w:r>
      <w:r>
        <w:rPr>
          <w:rFonts w:asciiTheme="majorEastAsia" w:hAnsiTheme="majorEastAsia" w:eastAsiaTheme="majorEastAsia"/>
          <w:sz w:val="18"/>
          <w:szCs w:val="18"/>
        </w:rPr>
        <w:t>公告，</w:t>
      </w:r>
      <w:r>
        <w:rPr>
          <w:rFonts w:hint="eastAsia" w:asciiTheme="majorEastAsia" w:hAnsiTheme="majorEastAsia" w:eastAsiaTheme="majorEastAsia"/>
          <w:sz w:val="18"/>
          <w:szCs w:val="18"/>
        </w:rPr>
        <w:t>具体以当期《产品说明书》</w:t>
      </w:r>
      <w:r>
        <w:rPr>
          <w:rFonts w:hint="eastAsia" w:asciiTheme="minorEastAsia" w:hAnsiTheme="minorEastAsia" w:eastAsiaTheme="minorEastAsia"/>
          <w:sz w:val="18"/>
          <w:szCs w:val="18"/>
        </w:rPr>
        <w:t xml:space="preserve"> “第二条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hint="eastAsia" w:ascii="黑体" w:hAnsi="黑体" w:eastAsia="黑体" w:cs="仿宋_GB2312"/>
          <w:bCs/>
          <w:sz w:val="18"/>
          <w:szCs w:val="18"/>
        </w:rPr>
        <w:t>★</w:t>
      </w:r>
      <w:r>
        <w:rPr>
          <w:rFonts w:hint="eastAsia" w:ascii="黑体" w:hAnsi="黑体" w:eastAsia="黑体"/>
          <w:sz w:val="18"/>
          <w:szCs w:val="18"/>
        </w:rPr>
        <w:t>业绩比较基准</w:t>
      </w:r>
      <w:r>
        <w:rPr>
          <w:rFonts w:hint="eastAsia" w:ascii="黑体" w:hAnsi="黑体" w:eastAsia="黑体"/>
          <w:bCs/>
          <w:sz w:val="18"/>
          <w:szCs w:val="18"/>
        </w:rPr>
        <w:t>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asciiTheme="majorEastAsia" w:hAnsiTheme="majorEastAsia" w:eastAsiaTheme="majorEastAsia"/>
          <w:sz w:val="18"/>
          <w:szCs w:val="18"/>
        </w:rPr>
        <w:t>3.</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产品管理人不设置业绩比较基准。</w:t>
      </w:r>
    </w:p>
    <w:p>
      <w:pPr>
        <w:autoSpaceDE w:val="0"/>
        <w:autoSpaceDN w:val="0"/>
        <w:adjustRightInd w:val="0"/>
        <w:spacing w:line="360" w:lineRule="auto"/>
        <w:ind w:firstLine="361" w:firstLineChars="200"/>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（六）业绩报酬计提基准</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kern w:val="0"/>
          <w:sz w:val="18"/>
          <w:szCs w:val="18"/>
        </w:rPr>
        <w:t xml:space="preserve"> 产品管理人设置业绩报酬计提基准。</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1.产品管理人设置业绩报酬计提基准并进行公告，具体以当期《产品说明书》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hint="eastAsia" w:ascii="黑体" w:hAnsi="黑体" w:eastAsia="黑体"/>
          <w:sz w:val="18"/>
          <w:szCs w:val="18"/>
        </w:rPr>
        <w:t>2.★业绩报酬计提基准仅作为管理人收取超额业绩报酬的参照，不代表理财产品未来表现，不等于理财产品实际收益，不作为产品收益的业绩保证，投资须谨慎。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产品管理人不设置业绩报酬计提基准。</w:t>
      </w: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105" w:name="_Toc1823"/>
      <w:bookmarkStart w:id="106" w:name="_Toc26986"/>
      <w:bookmarkStart w:id="107" w:name="_Toc18797"/>
      <w:bookmarkStart w:id="108" w:name="_Toc18329"/>
      <w:bookmarkStart w:id="109" w:name="_Toc17912"/>
      <w:bookmarkStart w:id="110" w:name="_Toc7848"/>
      <w:bookmarkStart w:id="111" w:name="_Toc21988"/>
      <w:bookmarkStart w:id="112" w:name="_Toc74065742"/>
      <w:bookmarkStart w:id="113" w:name="_Toc79154669"/>
      <w:bookmarkStart w:id="114" w:name="_Toc141703885"/>
      <w:bookmarkStart w:id="115" w:name="_Toc92377135"/>
      <w:bookmarkStart w:id="116" w:name="_Toc27357"/>
      <w:bookmarkStart w:id="117" w:name="_Toc14893"/>
      <w:bookmarkStart w:id="118" w:name="_Toc18526"/>
      <w:bookmarkStart w:id="119" w:name="_Toc139991735"/>
      <w:bookmarkStart w:id="120" w:name="_Toc4741"/>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43"/>
        <w:spacing w:line="360" w:lineRule="auto"/>
        <w:ind w:firstLine="361" w:firstLineChars="200"/>
        <w:rPr>
          <w:rFonts w:asciiTheme="majorEastAsia" w:hAnsiTheme="majorEastAsia" w:eastAsiaTheme="majorEastAsia"/>
          <w:b/>
          <w:color w:val="auto"/>
          <w:sz w:val="18"/>
          <w:szCs w:val="18"/>
        </w:rPr>
      </w:pPr>
      <w:bookmarkStart w:id="121" w:name="_Hlk490214295"/>
      <w:r>
        <w:rPr>
          <w:rFonts w:hint="eastAsia" w:asciiTheme="majorEastAsia" w:hAnsiTheme="majorEastAsia" w:eastAsiaTheme="majorEastAsia"/>
          <w:b/>
          <w:color w:val="auto"/>
          <w:sz w:val="18"/>
          <w:szCs w:val="18"/>
        </w:rPr>
        <w:t>（一）理财产品的资产的保管和处分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121"/>
    <w:p>
      <w:pPr>
        <w:pStyle w:val="2"/>
        <w:spacing w:before="0" w:after="0" w:line="360" w:lineRule="auto"/>
        <w:jc w:val="center"/>
        <w:rPr>
          <w:rFonts w:ascii="Times New Roman"/>
          <w:sz w:val="28"/>
          <w:szCs w:val="28"/>
        </w:rPr>
      </w:pPr>
      <w:bookmarkStart w:id="122" w:name="_Toc92377136"/>
      <w:bookmarkStart w:id="123" w:name="_Toc83391971"/>
      <w:bookmarkStart w:id="124" w:name="_Toc10162"/>
      <w:bookmarkStart w:id="125" w:name="_Toc141703886"/>
      <w:bookmarkStart w:id="126" w:name="_Toc79392606"/>
      <w:bookmarkStart w:id="127" w:name="_Toc98560352"/>
      <w:bookmarkStart w:id="128" w:name="_Toc17244"/>
      <w:bookmarkStart w:id="129" w:name="_Toc20733"/>
      <w:bookmarkStart w:id="130" w:name="_Toc10463"/>
      <w:bookmarkStart w:id="131" w:name="_Toc139991736"/>
      <w:bookmarkStart w:id="132" w:name="_Toc4003"/>
      <w:bookmarkStart w:id="133" w:name="_Toc123051452"/>
      <w:bookmarkStart w:id="134" w:name="_Toc23822"/>
      <w:bookmarkStart w:id="135" w:name="_Toc1270"/>
      <w:bookmarkStart w:id="136" w:name="_Toc123112234"/>
      <w:bookmarkStart w:id="137" w:name="_Toc79154670"/>
      <w:bookmarkStart w:id="138" w:name="_Toc1427"/>
      <w:bookmarkStart w:id="139" w:name="_Toc74065743"/>
      <w:bookmarkStart w:id="140" w:name="_Toc48649707"/>
      <w:bookmarkStart w:id="141" w:name="_Toc23261"/>
      <w:bookmarkStart w:id="142" w:name="_Toc610"/>
      <w:bookmarkStart w:id="143" w:name="_Toc7920"/>
      <w:bookmarkStart w:id="144" w:name="_Toc123102453"/>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122"/>
      <w:bookmarkEnd w:id="123"/>
      <w:bookmarkEnd w:id="124"/>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w:t>
      </w:r>
      <w:r>
        <w:rPr>
          <w:rFonts w:cs="Times New Roman" w:asciiTheme="minorEastAsia" w:hAnsiTheme="minorEastAsia" w:eastAsiaTheme="minorEastAsia"/>
          <w:sz w:val="18"/>
          <w:szCs w:val="18"/>
        </w:rPr>
        <w:t>、半年度、年度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43"/>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43"/>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43"/>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43"/>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43"/>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43"/>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Pr>
        <w:pStyle w:val="2"/>
        <w:spacing w:before="0" w:after="0" w:line="360" w:lineRule="auto"/>
        <w:ind w:left="60" w:firstLine="10"/>
        <w:jc w:val="center"/>
        <w:rPr>
          <w:rFonts w:ascii="Times New Roman"/>
          <w:sz w:val="30"/>
        </w:rPr>
      </w:pPr>
      <w:bookmarkStart w:id="145" w:name="_Hlt70481650"/>
      <w:bookmarkEnd w:id="145"/>
      <w:bookmarkStart w:id="146" w:name="_Toc31644"/>
      <w:bookmarkStart w:id="147" w:name="_Toc123102454"/>
      <w:bookmarkStart w:id="148" w:name="_Toc139991737"/>
      <w:bookmarkStart w:id="149" w:name="_Toc92377137"/>
      <w:bookmarkStart w:id="150" w:name="_Toc29251"/>
      <w:bookmarkStart w:id="151" w:name="_Toc6405"/>
      <w:bookmarkStart w:id="152" w:name="_Toc14835"/>
      <w:bookmarkStart w:id="153" w:name="_Toc3601"/>
      <w:bookmarkStart w:id="154" w:name="_Toc74065744"/>
      <w:bookmarkStart w:id="155" w:name="_Toc26207"/>
      <w:bookmarkStart w:id="156" w:name="_Toc15143"/>
      <w:bookmarkStart w:id="157" w:name="_Toc141703887"/>
      <w:bookmarkStart w:id="158" w:name="_Toc98560353"/>
      <w:bookmarkStart w:id="159" w:name="_Toc79154671"/>
      <w:bookmarkStart w:id="160" w:name="_Toc123112235"/>
      <w:bookmarkStart w:id="161" w:name="_Toc3138"/>
      <w:bookmarkStart w:id="162" w:name="_Toc123051453"/>
      <w:bookmarkStart w:id="163" w:name="_Toc31235"/>
      <w:bookmarkStart w:id="164" w:name="_Toc31653"/>
      <w:bookmarkStart w:id="165" w:name="_Toc1224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Hlt55355235"/>
      <w:bookmarkEnd w:id="166"/>
      <w:bookmarkStart w:id="167" w:name="_Toc79392580"/>
      <w:bookmarkStart w:id="168" w:name="_Toc15118234"/>
      <w:bookmarkStart w:id="169" w:name="_Toc523711668"/>
      <w:bookmarkStart w:id="170" w:name="_Toc57530239"/>
    </w:p>
    <w:p>
      <w:pPr>
        <w:pStyle w:val="43"/>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43"/>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43"/>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43"/>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43"/>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43"/>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43"/>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43"/>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43"/>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43"/>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43"/>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43"/>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43"/>
        <w:spacing w:line="360" w:lineRule="auto"/>
        <w:ind w:firstLine="360" w:firstLineChars="200"/>
        <w:rPr>
          <w:rFonts w:hAnsi="宋体"/>
          <w:color w:val="auto"/>
          <w:sz w:val="18"/>
          <w:szCs w:val="18"/>
        </w:rPr>
      </w:pPr>
      <w:r>
        <w:rPr>
          <w:rFonts w:hint="eastAsia" w:hAnsi="宋体"/>
          <w:color w:val="auto"/>
          <w:sz w:val="18"/>
          <w:szCs w:val="18"/>
        </w:rPr>
        <w:t>3.产品管理人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43"/>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43"/>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43"/>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43"/>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w:t>
      </w:r>
      <w:r>
        <w:rPr>
          <w:rFonts w:hint="eastAsia" w:hAnsi="宋体"/>
          <w:color w:val="auto"/>
          <w:sz w:val="18"/>
          <w:szCs w:val="18"/>
        </w:rPr>
        <w:t>具体的理财利益分配以实际情况为准。</w:t>
      </w:r>
    </w:p>
    <w:p>
      <w:pPr>
        <w:widowControl/>
        <w:spacing w:line="360" w:lineRule="auto"/>
        <w:jc w:val="left"/>
        <w:rPr>
          <w:rFonts w:ascii="宋体" w:hAnsi="宋体"/>
          <w:kern w:val="0"/>
          <w:sz w:val="18"/>
          <w:szCs w:val="18"/>
        </w:rPr>
      </w:pPr>
      <w:r>
        <w:rPr>
          <w:rFonts w:hAnsi="宋体"/>
          <w:sz w:val="18"/>
          <w:szCs w:val="18"/>
        </w:rPr>
        <w:br w:type="page"/>
      </w:r>
    </w:p>
    <w:bookmarkEnd w:id="167"/>
    <w:bookmarkEnd w:id="168"/>
    <w:bookmarkEnd w:id="169"/>
    <w:bookmarkEnd w:id="170"/>
    <w:p>
      <w:pPr>
        <w:pStyle w:val="2"/>
        <w:spacing w:before="0" w:after="0" w:line="360" w:lineRule="auto"/>
        <w:jc w:val="center"/>
        <w:rPr>
          <w:rFonts w:ascii="Times New Roman"/>
          <w:sz w:val="30"/>
        </w:rPr>
      </w:pPr>
      <w:bookmarkStart w:id="171" w:name="_Hlt88825574"/>
      <w:bookmarkEnd w:id="171"/>
      <w:bookmarkStart w:id="172" w:name="_Hlt88897298"/>
      <w:bookmarkEnd w:id="172"/>
      <w:bookmarkStart w:id="173" w:name="_Toc74065745"/>
      <w:bookmarkStart w:id="174" w:name="_Toc92377138"/>
      <w:bookmarkStart w:id="175" w:name="_Toc6447"/>
      <w:bookmarkStart w:id="176" w:name="_Toc123051454"/>
      <w:bookmarkStart w:id="177" w:name="_Toc11030"/>
      <w:bookmarkStart w:id="178" w:name="_Toc4559"/>
      <w:bookmarkStart w:id="179" w:name="_Toc123112236"/>
      <w:bookmarkStart w:id="180" w:name="_Toc25783"/>
      <w:bookmarkStart w:id="181" w:name="_Toc141703888"/>
      <w:bookmarkStart w:id="182" w:name="_Toc3771"/>
      <w:bookmarkStart w:id="183" w:name="_Toc18567"/>
      <w:bookmarkStart w:id="184" w:name="_Toc79392583"/>
      <w:bookmarkStart w:id="185" w:name="_Toc79154672"/>
      <w:bookmarkStart w:id="186" w:name="_Toc10650"/>
      <w:bookmarkStart w:id="187" w:name="_Toc17110"/>
      <w:bookmarkStart w:id="188" w:name="_Toc3321"/>
      <w:bookmarkStart w:id="189" w:name="_Toc9706"/>
      <w:bookmarkStart w:id="190" w:name="_Toc139991738"/>
      <w:bookmarkStart w:id="191" w:name="_Toc98560354"/>
      <w:bookmarkStart w:id="192" w:name="_Toc7058"/>
      <w:bookmarkStart w:id="193" w:name="_Toc123102455"/>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43"/>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超额业绩报酬的具体比例数值以《产品说明书》“第二条 理财产品基本情况”为准。</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1）收取超额业绩报酬的原则：</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①按投资者每份产品份额分别计算年化收益率并计提超额业绩报酬；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③在每个赎回日提取超额业绩报酬的，超额业绩报酬从理财资金中扣除；在产品终止日提取超额业绩报酬的，超额业绩报酬从清算资金中扣除。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2）超额业绩报酬计提方法</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①超额业绩报酬计提日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每份产品份额超额业绩报酬计提日为每个赎回日或产品终止日。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②超额业绩报酬的计算</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产品管理人对每份产品份额年化收益率（R）超过当期业绩报酬计提基准的部分，按比例（N）以及该份产品份额当期投资周期天数（D）提取超额业绩报酬，计算方法如下：</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当R≤当期业绩报酬计提基准，超额业绩报酬=0；</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当R＞当期业绩报酬计提基准，超额业绩报酬=投资者持有的产品份额数量×产品成立日或当期投资周期产品份额申购日的产品份额净值×（R-当期业绩报酬计提基准）×N×D/365；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43"/>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43"/>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43"/>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94" w:name="_Toc3963"/>
      <w:bookmarkStart w:id="195" w:name="_Toc1745"/>
      <w:r>
        <w:br w:type="page"/>
      </w:r>
      <w:bookmarkStart w:id="196" w:name="_Toc4606"/>
      <w:bookmarkStart w:id="197" w:name="_Toc92377139"/>
      <w:bookmarkStart w:id="198" w:name="_Toc139991739"/>
      <w:bookmarkStart w:id="199" w:name="_Toc123051455"/>
      <w:bookmarkStart w:id="200" w:name="_Toc98560355"/>
      <w:bookmarkStart w:id="201" w:name="_Toc10398"/>
      <w:bookmarkStart w:id="202" w:name="_Toc123102456"/>
      <w:bookmarkStart w:id="203" w:name="_Toc16164"/>
      <w:bookmarkStart w:id="204" w:name="_Toc141703889"/>
      <w:bookmarkStart w:id="205" w:name="_Toc3080"/>
      <w:bookmarkStart w:id="206" w:name="_Toc3572"/>
      <w:bookmarkStart w:id="207" w:name="_Toc18206"/>
      <w:bookmarkStart w:id="208" w:name="_Toc74065746"/>
      <w:bookmarkStart w:id="209" w:name="_Toc31821"/>
      <w:bookmarkStart w:id="210" w:name="_Toc79154673"/>
      <w:bookmarkStart w:id="211" w:name="_Toc725"/>
      <w:bookmarkStart w:id="212" w:name="_Toc123112237"/>
      <w:bookmarkStart w:id="213" w:name="_Toc21735"/>
      <w:r>
        <w:rPr>
          <w:rFonts w:hint="eastAsia"/>
          <w:sz w:val="30"/>
        </w:rPr>
        <w:t>第十条</w:t>
      </w:r>
      <w:r>
        <w:rPr>
          <w:sz w:val="30"/>
        </w:rPr>
        <w:t xml:space="preserve">  </w:t>
      </w:r>
      <w:r>
        <w:rPr>
          <w:rFonts w:hint="eastAsia"/>
          <w:sz w:val="30"/>
        </w:rPr>
        <w:t>理财产品的终止与清算</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spacing w:line="360" w:lineRule="auto"/>
        <w:ind w:firstLine="361" w:firstLineChars="200"/>
        <w:rPr>
          <w:rFonts w:asciiTheme="majorEastAsia" w:hAnsiTheme="majorEastAsia" w:eastAsiaTheme="majorEastAsia"/>
          <w:b/>
          <w:bCs/>
          <w:sz w:val="18"/>
          <w:szCs w:val="18"/>
        </w:rPr>
      </w:pPr>
      <w:bookmarkStart w:id="214" w:name="_Toc57530252"/>
      <w:bookmarkStart w:id="215" w:name="_Toc15118245"/>
      <w:bookmarkStart w:id="216"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因法律法规变化或国家金融政策调整、紧急措施出台影响产品继续正常运作。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法律法规规定或监管部门认定的其他情形。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因不可抗力等原因，导致产品管理人接受赎回申请后无法分配；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部分提前终止的利益分配：产品管理人将依照协议约定公布部分提前终止日并指定利益分配日（一般为部分提前终止日之后的【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此外，在投资者与管理人另行协商一致延期终止本产品的情况下，相应延期期间理财产品的投资运作，费用等事宜由双方另行约定。</w:t>
      </w:r>
    </w:p>
    <w:bookmarkEnd w:id="214"/>
    <w:bookmarkEnd w:id="215"/>
    <w:bookmarkEnd w:id="216"/>
    <w:p>
      <w:pPr>
        <w:pStyle w:val="2"/>
        <w:spacing w:before="0" w:after="0" w:line="360" w:lineRule="auto"/>
        <w:jc w:val="center"/>
        <w:rPr>
          <w:rFonts w:ascii="Times New Roman"/>
          <w:sz w:val="18"/>
          <w:szCs w:val="18"/>
        </w:rPr>
      </w:pPr>
      <w:r>
        <w:rPr>
          <w:rFonts w:ascii="Times New Roman"/>
          <w:b w:val="0"/>
          <w:bCs w:val="0"/>
          <w:kern w:val="2"/>
        </w:rPr>
        <w:br w:type="page"/>
      </w:r>
      <w:bookmarkStart w:id="217" w:name="_Toc11469"/>
      <w:bookmarkStart w:id="218" w:name="_Toc92377140"/>
      <w:bookmarkStart w:id="219" w:name="_Toc139991740"/>
      <w:bookmarkStart w:id="220" w:name="_Toc21237"/>
      <w:bookmarkStart w:id="221" w:name="_Toc79392622"/>
      <w:bookmarkStart w:id="222" w:name="_Toc3329"/>
      <w:bookmarkStart w:id="223" w:name="_Toc32092"/>
      <w:bookmarkStart w:id="224" w:name="_Toc83391975"/>
      <w:bookmarkStart w:id="225" w:name="_Toc123102457"/>
      <w:bookmarkStart w:id="226" w:name="_Toc79154674"/>
      <w:bookmarkStart w:id="227" w:name="_Toc17198"/>
      <w:bookmarkStart w:id="228" w:name="_Toc98560356"/>
      <w:bookmarkStart w:id="229" w:name="_Toc17920"/>
      <w:bookmarkStart w:id="230" w:name="_Toc123112238"/>
      <w:bookmarkStart w:id="231" w:name="_Toc739"/>
      <w:bookmarkStart w:id="232" w:name="_Toc48649708"/>
      <w:bookmarkStart w:id="233" w:name="_Toc32584"/>
      <w:bookmarkStart w:id="234" w:name="_Toc123051456"/>
      <w:bookmarkStart w:id="235" w:name="_Toc5170"/>
      <w:bookmarkStart w:id="236" w:name="_Toc141703890"/>
      <w:bookmarkStart w:id="237" w:name="_Toc8791"/>
      <w:bookmarkStart w:id="238" w:name="_Toc29408"/>
      <w:bookmarkStart w:id="239" w:name="_Toc74065747"/>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217"/>
      <w:bookmarkEnd w:id="218"/>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通过兴业银行或销售机构的信息披露渠道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的产品份额净值、产品份额累计净值、业绩比较基准（如有）、业绩报酬计提基准（如有）等。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hint="eastAsia" w:ascii="宋体" w:hAnsi="宋体"/>
          <w:bCs/>
          <w:sz w:val="18"/>
          <w:szCs w:val="18"/>
        </w:rPr>
        <w:t>基准</w:t>
      </w:r>
      <w:r>
        <w:rPr>
          <w:rFonts w:ascii="宋体" w:hAnsi="宋体"/>
          <w:bCs/>
          <w:sz w:val="18"/>
          <w:szCs w:val="18"/>
        </w:rPr>
        <w:t>（</w:t>
      </w:r>
      <w:r>
        <w:rPr>
          <w:rFonts w:hint="eastAsia" w:ascii="宋体" w:hAnsi="宋体"/>
          <w:bCs/>
          <w:sz w:val="18"/>
          <w:szCs w:val="18"/>
        </w:rPr>
        <w:t>如有</w:t>
      </w:r>
      <w:r>
        <w:rPr>
          <w:rFonts w:ascii="宋体" w:hAnsi="宋体"/>
          <w:bCs/>
          <w:sz w:val="18"/>
          <w:szCs w:val="18"/>
        </w:rPr>
        <w:t>）</w:t>
      </w:r>
      <w:r>
        <w:rPr>
          <w:rFonts w:hint="eastAsia" w:ascii="宋体" w:hAnsi="宋体"/>
          <w:bCs/>
          <w:sz w:val="18"/>
          <w:szCs w:val="18"/>
        </w:rPr>
        <w:t>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bCs/>
          <w:sz w:val="24"/>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sz w:val="24"/>
        </w:rPr>
        <w:br w:type="page"/>
      </w:r>
    </w:p>
    <w:p>
      <w:pPr>
        <w:pStyle w:val="2"/>
        <w:spacing w:before="0" w:after="0" w:line="360" w:lineRule="auto"/>
        <w:jc w:val="center"/>
        <w:rPr>
          <w:rFonts w:ascii="Times New Roman"/>
          <w:b w:val="0"/>
          <w:sz w:val="30"/>
        </w:rPr>
      </w:pPr>
      <w:bookmarkStart w:id="240" w:name="_Toc24766"/>
      <w:bookmarkStart w:id="241" w:name="_Toc79154675"/>
      <w:bookmarkStart w:id="242" w:name="_Toc9237714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40"/>
      <w:bookmarkEnd w:id="241"/>
      <w:bookmarkEnd w:id="242"/>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（1）投资固定收益类资产的风险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1" w:firstLineChars="200"/>
        <w:rPr>
          <w:rFonts w:ascii="宋体" w:hAnsi="宋体"/>
          <w:b/>
          <w:sz w:val="18"/>
          <w:szCs w:val="18"/>
        </w:rPr>
      </w:pPr>
      <w:r>
        <w:rPr>
          <w:rFonts w:hint="eastAsia" w:ascii="宋体" w:hAnsi="宋体"/>
          <w:b/>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.市场</w:t>
      </w:r>
      <w:r>
        <w:rPr>
          <w:rFonts w:ascii="宋体" w:hAnsi="宋体"/>
          <w:sz w:val="18"/>
          <w:szCs w:val="18"/>
        </w:rPr>
        <w:t>风险：</w:t>
      </w: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ascii="宋体" w:hAnsi="宋体"/>
          <w:sz w:val="18"/>
          <w:szCs w:val="18"/>
        </w:rPr>
        <w:t>5</w:t>
      </w:r>
      <w:r>
        <w:rPr>
          <w:rFonts w:hint="eastAsia" w:ascii="宋体" w:hAnsi="宋体"/>
          <w:sz w:val="18"/>
          <w:szCs w:val="18"/>
        </w:rPr>
        <w:t>.</w:t>
      </w:r>
      <w:r>
        <w:rPr>
          <w:rFonts w:ascii="宋体" w:hAnsi="宋体"/>
          <w:sz w:val="18"/>
          <w:szCs w:val="18"/>
        </w:rPr>
        <w:t>法律与政策风险：</w:t>
      </w: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延期</w:t>
      </w:r>
      <w:r>
        <w:rPr>
          <w:rFonts w:hint="eastAsia" w:ascii="宋体" w:hAnsi="宋体"/>
          <w:sz w:val="18"/>
          <w:szCs w:val="18"/>
        </w:rPr>
        <w:t>分配</w:t>
      </w:r>
      <w:r>
        <w:rPr>
          <w:rFonts w:ascii="宋体" w:hAnsi="宋体"/>
          <w:sz w:val="18"/>
          <w:szCs w:val="18"/>
        </w:rPr>
        <w:t>风险：</w:t>
      </w: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w:t>
      </w:r>
      <w:r>
        <w:rPr>
          <w:rFonts w:ascii="宋体" w:hAnsi="宋体"/>
          <w:sz w:val="18"/>
          <w:szCs w:val="18"/>
        </w:rPr>
        <w:t>早偿风险：</w:t>
      </w: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ascii="黑体" w:hAnsi="黑体" w:eastAsia="黑体"/>
          <w:sz w:val="18"/>
          <w:szCs w:val="18"/>
        </w:rPr>
        <w:t>8. ★信息传递风险：</w:t>
      </w:r>
      <w:r>
        <w:rPr>
          <w:rFonts w:hint="eastAsia" w:ascii="黑体" w:hAnsi="黑体" w:eastAsia="黑体"/>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w:t>
      </w:r>
      <w:r>
        <w:rPr>
          <w:rFonts w:ascii="宋体" w:hAnsi="宋体"/>
          <w:sz w:val="18"/>
          <w:szCs w:val="18"/>
        </w:rPr>
        <w:t>不可抗力及意外事件风险：</w:t>
      </w: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bCs/>
          <w:sz w:val="18"/>
          <w:szCs w:val="18"/>
        </w:rPr>
      </w:pPr>
      <w:r>
        <w:rPr>
          <w:rFonts w:ascii="宋体" w:hAnsi="宋体"/>
          <w:sz w:val="18"/>
          <w:szCs w:val="18"/>
        </w:rPr>
        <w:t>10</w:t>
      </w:r>
      <w:r>
        <w:rPr>
          <w:rFonts w:hint="eastAsia" w:ascii="宋体" w:hAnsi="宋体"/>
          <w:sz w:val="18"/>
          <w:szCs w:val="18"/>
        </w:rPr>
        <w:t>.</w:t>
      </w:r>
      <w:r>
        <w:rPr>
          <w:rFonts w:ascii="宋体" w:hAnsi="宋体"/>
          <w:sz w:val="18"/>
          <w:szCs w:val="18"/>
        </w:rPr>
        <w:t>管理人风险：</w:t>
      </w:r>
      <w:r>
        <w:rPr>
          <w:rFonts w:hint="eastAsia" w:ascii="宋体" w:hAnsi="宋体"/>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pPr>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w:t>
      </w:r>
      <w:r>
        <w:rPr>
          <w:rFonts w:ascii="宋体" w:hAnsi="宋体"/>
          <w:sz w:val="18"/>
          <w:szCs w:val="18"/>
        </w:rPr>
        <w:t>操作风险：</w:t>
      </w: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13.估值</w:t>
      </w:r>
      <w:r>
        <w:rPr>
          <w:rFonts w:hint="eastAsia" w:ascii="宋体" w:hAnsi="宋体"/>
          <w:sz w:val="18"/>
          <w:szCs w:val="18"/>
        </w:rPr>
        <w:t>波动</w:t>
      </w:r>
      <w:r>
        <w:rPr>
          <w:rFonts w:ascii="宋体" w:hAnsi="宋体"/>
          <w:sz w:val="18"/>
          <w:szCs w:val="18"/>
        </w:rPr>
        <w:t>风险：</w:t>
      </w: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14</w:t>
      </w:r>
      <w:r>
        <w:rPr>
          <w:rFonts w:hint="eastAsia" w:ascii="宋体" w:hAnsi="宋体"/>
          <w:sz w:val="18"/>
          <w:szCs w:val="18"/>
        </w:rPr>
        <w:t>.</w:t>
      </w:r>
      <w:r>
        <w:rPr>
          <w:rFonts w:ascii="宋体" w:hAnsi="宋体"/>
          <w:sz w:val="18"/>
          <w:szCs w:val="18"/>
        </w:rPr>
        <w:t>估值差错风险：</w:t>
      </w: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宋体" w:hAnsi="宋体"/>
          <w:sz w:val="18"/>
          <w:szCs w:val="18"/>
        </w:rPr>
      </w:pPr>
      <w:r>
        <w:rPr>
          <w:rFonts w:ascii="宋体" w:hAnsi="宋体"/>
          <w:sz w:val="18"/>
          <w:szCs w:val="18"/>
        </w:rPr>
        <w:t>15</w:t>
      </w:r>
      <w:r>
        <w:rPr>
          <w:rFonts w:hint="eastAsia" w:ascii="宋体" w:hAnsi="宋体"/>
          <w:sz w:val="18"/>
          <w:szCs w:val="18"/>
        </w:rPr>
        <w:t>.★</w:t>
      </w:r>
      <w:r>
        <w:rPr>
          <w:rFonts w:hint="eastAsia" w:ascii="黑体" w:hAnsi="黑体" w:eastAsia="黑体"/>
          <w:sz w:val="18"/>
          <w:szCs w:val="18"/>
        </w:rPr>
        <w:t>代销风险：本理财产品若通过非产品管理人自有渠道进行销售的属于代理销售，认购</w:t>
      </w:r>
      <w:r>
        <w:rPr>
          <w:rFonts w:ascii="黑体" w:hAnsi="黑体" w:eastAsia="黑体"/>
          <w:sz w:val="18"/>
          <w:szCs w:val="18"/>
        </w:rPr>
        <w:t>/</w:t>
      </w:r>
      <w:r>
        <w:rPr>
          <w:rFonts w:hint="eastAsia" w:ascii="黑体" w:hAnsi="黑体" w:eastAsia="黑体"/>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hint="eastAsia" w:ascii="黑体" w:hAnsi="黑体" w:eastAsia="黑体"/>
          <w:sz w:val="18"/>
          <w:szCs w:val="18"/>
        </w:rPr>
        <w:t>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16.</w:t>
      </w:r>
      <w:r>
        <w:rPr>
          <w:rFonts w:hint="eastAsia" w:ascii="黑体" w:hAnsi="黑体" w:eastAsia="黑体"/>
          <w:sz w:val="18"/>
          <w:szCs w:val="18"/>
        </w:rPr>
        <w:t>★不同理财产品份额类别存在差异的风险：理财产品管理人可根据投资者购买理财产品的金额、销售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17.</w:t>
      </w:r>
      <w:r>
        <w:rPr>
          <w:rFonts w:hint="eastAsia" w:ascii="黑体" w:hAnsi="黑体" w:eastAsia="黑体"/>
          <w:sz w:val="18"/>
          <w:szCs w:val="18"/>
        </w:rPr>
        <w:t xml:space="preserve"> 关联交易风险</w:t>
      </w: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1" w:firstLineChars="200"/>
        <w:rPr>
          <w:rFonts w:ascii="黑体" w:hAnsi="黑体" w:eastAsia="黑体"/>
          <w:b/>
          <w:sz w:val="18"/>
          <w:szCs w:val="18"/>
        </w:rPr>
      </w:pPr>
      <w:r>
        <w:rPr>
          <w:rFonts w:hint="eastAsia" w:ascii="黑体" w:hAnsi="黑体" w:eastAsia="黑体"/>
          <w:b/>
          <w:sz w:val="18"/>
          <w:szCs w:val="18"/>
        </w:rPr>
        <w:t>（</w:t>
      </w:r>
      <w:r>
        <w:rPr>
          <w:rFonts w:ascii="黑体" w:hAnsi="黑体" w:eastAsia="黑体"/>
          <w:b/>
          <w:sz w:val="18"/>
          <w:szCs w:val="18"/>
        </w:rPr>
        <w:t>三</w:t>
      </w:r>
      <w:r>
        <w:rPr>
          <w:rFonts w:hint="eastAsia" w:ascii="黑体" w:hAnsi="黑体" w:eastAsia="黑体"/>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spacing w:line="360" w:lineRule="auto"/>
        <w:jc w:val="left"/>
        <w:rPr>
          <w:rFonts w:hint="eastAsia" w:ascii="宋体" w:hAnsi="宋体"/>
          <w:b/>
          <w:sz w:val="18"/>
          <w:szCs w:val="18"/>
        </w:rPr>
        <w:sectPr>
          <w:headerReference r:id="rId11" w:type="default"/>
          <w:footerReference r:id="rId12" w:type="default"/>
          <w:pgSz w:w="11906" w:h="16838"/>
          <w:pgMar w:top="1276" w:right="1800" w:bottom="1418" w:left="1800" w:header="567" w:footer="850" w:gutter="0"/>
          <w:pgNumType w:start="1"/>
          <w:cols w:space="425" w:num="1"/>
          <w:docGrid w:type="lines" w:linePitch="312" w:charSpace="0"/>
        </w:sectPr>
      </w:pPr>
    </w:p>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24"/>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1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1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1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43"/>
              <w:jc w:val="both"/>
              <w:rPr>
                <w:rFonts w:hAnsi="宋体"/>
                <w:bCs/>
                <w:sz w:val="18"/>
                <w:szCs w:val="18"/>
              </w:rPr>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1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1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 xml:space="preserve">【 </w:t>
      </w:r>
      <w:r>
        <w:rPr>
          <w:rFonts w:ascii="宋体" w:hAnsi="宋体" w:cs="仿宋_GB2312"/>
          <w:kern w:val="0"/>
          <w:sz w:val="18"/>
          <w:szCs w:val="18"/>
        </w:rPr>
        <w:t xml:space="preserve">                                   </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w:t>
      </w:r>
      <w:r>
        <w:rPr>
          <w:rFonts w:hint="eastAsia" w:ascii="宋体" w:hAnsi="宋体" w:cs="仿宋_GB2312"/>
          <w:kern w:val="0"/>
          <w:sz w:val="18"/>
          <w:szCs w:val="18"/>
        </w:rPr>
        <w:t>【】</w:t>
      </w:r>
      <w:r>
        <w:rPr>
          <w:rFonts w:ascii="宋体" w:hAnsi="宋体" w:cs="仿宋_GB2312"/>
          <w:kern w:val="0"/>
          <w:sz w:val="18"/>
          <w:szCs w:val="18"/>
        </w:rPr>
        <w:t>个</w:t>
      </w:r>
      <w:r>
        <w:rPr>
          <w:rFonts w:hint="eastAsia" w:ascii="宋体" w:hAnsi="宋体" w:cs="仿宋_GB2312"/>
          <w:kern w:val="0"/>
          <w:sz w:val="18"/>
          <w:szCs w:val="18"/>
        </w:rPr>
        <w:t xml:space="preserve">等级：【 </w:t>
      </w:r>
      <w:r>
        <w:rPr>
          <w:rFonts w:ascii="宋体" w:hAnsi="宋体" w:cs="仿宋_GB2312"/>
          <w:kern w:val="0"/>
          <w:sz w:val="18"/>
          <w:szCs w:val="18"/>
        </w:rPr>
        <w:t xml:space="preserve">                                </w:t>
      </w:r>
      <w:r>
        <w:rPr>
          <w:rFonts w:hint="eastAsia" w:ascii="宋体" w:hAnsi="宋体" w:cs="仿宋_GB2312"/>
          <w:kern w:val="0"/>
          <w:sz w:val="18"/>
          <w:szCs w:val="18"/>
        </w:rPr>
        <w:t>】。</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43"/>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甲方应根据风险承受能力评估结果选择与其风险承受能力相匹配的风险等级的理财产品，不得购买高于甲方风险承受能力的理财产品。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1"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hint="eastAsia" w:ascii="宋体" w:hAnsi="宋体"/>
          <w:b/>
          <w:sz w:val="18"/>
          <w:szCs w:val="18"/>
        </w:rPr>
        <w:sectPr>
          <w:headerReference r:id="rId13" w:type="default"/>
          <w:footerReference r:id="rId14" w:type="default"/>
          <w:pgSz w:w="11906" w:h="16838"/>
          <w:pgMar w:top="1440" w:right="1800" w:bottom="1440" w:left="1800" w:header="851" w:footer="992" w:gutter="0"/>
          <w:cols w:space="425" w:num="1"/>
          <w:docGrid w:type="lines" w:linePitch="312" w:charSpace="0"/>
        </w:sect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兴业银行天天万利宝稳利2号净值型理财产品E款</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Theme="majorEastAsia" w:hAnsiTheme="majorEastAsia" w:eastAsiaTheme="majorEastAsia"/>
          <w:bCs/>
          <w:kern w:val="0"/>
          <w:sz w:val="18"/>
          <w:szCs w:val="18"/>
        </w:rPr>
        <w:t>【</w:t>
      </w:r>
      <w:r>
        <w:rPr>
          <w:rFonts w:hint="eastAsia" w:ascii="宋体" w:hAnsi="宋体"/>
          <w:bCs/>
          <w:sz w:val="18"/>
          <w:szCs w:val="18"/>
        </w:rPr>
        <w:t>稳利恒盈</w:t>
      </w:r>
      <w:r>
        <w:rPr>
          <w:rFonts w:ascii="宋体" w:hAnsi="宋体"/>
          <w:bCs/>
          <w:sz w:val="18"/>
          <w:szCs w:val="18"/>
        </w:rPr>
        <w:t>E</w:t>
      </w:r>
      <w:r>
        <w:rPr>
          <w:rFonts w:hint="eastAsia" w:ascii="宋体" w:hAnsi="宋体"/>
          <w:bCs/>
          <w:sz w:val="18"/>
          <w:szCs w:val="18"/>
        </w:rPr>
        <w:t xml:space="preserve"> 6个月</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Z7002020000022</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58"/>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58"/>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58"/>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58"/>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58"/>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58"/>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58"/>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58"/>
        <w:ind w:firstLineChars="0"/>
        <w:rPr>
          <w:rFonts w:ascii="宋体" w:hAnsi="宋体"/>
          <w:sz w:val="18"/>
          <w:szCs w:val="18"/>
        </w:rPr>
      </w:pPr>
      <w:r>
        <w:rPr>
          <w:rFonts w:hint="eastAsia" w:ascii="宋体" w:hAnsi="宋体"/>
          <w:sz w:val="18"/>
          <w:szCs w:val="18"/>
        </w:rPr>
        <w:t>1）投资股票类资产的风险</w:t>
      </w:r>
    </w:p>
    <w:p>
      <w:pPr>
        <w:pStyle w:val="58"/>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58"/>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58"/>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58"/>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58"/>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58"/>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58"/>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58"/>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58"/>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58"/>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58"/>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58"/>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58"/>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58"/>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50"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58"/>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58"/>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58"/>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58"/>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58"/>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58"/>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58"/>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58"/>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25"/>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25"/>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25"/>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
      <w:pPr>
        <w:spacing w:line="360" w:lineRule="auto"/>
        <w:jc w:val="left"/>
        <w:rPr>
          <w:rFonts w:hint="eastAsia" w:ascii="宋体" w:hAnsi="宋体"/>
          <w:b/>
          <w:sz w:val="18"/>
          <w:szCs w:val="18"/>
        </w:rPr>
        <w:sectPr>
          <w:headerReference r:id="rId15" w:type="default"/>
          <w:footerReference r:id="rId16" w:type="default"/>
          <w:pgSz w:w="11906" w:h="16838"/>
          <w:pgMar w:top="1440" w:right="1800" w:bottom="1440" w:left="1800" w:header="851" w:footer="992" w:gutter="0"/>
          <w:cols w:space="425" w:num="1"/>
          <w:docGrid w:type="lines" w:linePitch="312" w:charSpace="0"/>
        </w:sectPr>
      </w:pP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】以(□ 直销：产品管理人销售/</w:t>
      </w:r>
      <w:r>
        <w:rPr>
          <w:rFonts w:hint="eastAsia" w:asciiTheme="majorEastAsia" w:hAnsiTheme="majorEastAsia" w:eastAsiaTheme="majorEastAsia"/>
          <w:bCs/>
          <w:color w:val="000000" w:themeColor="text1"/>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w:t>
      </w:r>
      <w:r>
        <w:rPr>
          <w:rFonts w:ascii="宋体" w:hAnsi="宋体"/>
          <w:sz w:val="18"/>
          <w:szCs w:val="18"/>
        </w:rPr>
        <w:t>（包括但不限于网上银行、电话银行和手机银行）均可办理理财产品的购买手续，但是对于具体理财产品，</w:t>
      </w:r>
      <w:r>
        <w:rPr>
          <w:rFonts w:hint="eastAsia" w:ascii="宋体" w:hAnsi="宋体"/>
          <w:sz w:val="18"/>
          <w:szCs w:val="18"/>
        </w:rPr>
        <w:t>产品管理人</w:t>
      </w:r>
      <w:r>
        <w:rPr>
          <w:rFonts w:ascii="宋体" w:hAnsi="宋体"/>
          <w:sz w:val="18"/>
          <w:szCs w:val="18"/>
        </w:rPr>
        <w:t>将根据产品风险等级和市场情况自行确定发售渠道。</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首次购买兴银理财的理财产品前，需要进行风险承受能力评估，填写《个人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 xml:space="preserve">2.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ascii="宋体" w:hAnsi="宋体"/>
          <w:sz w:val="18"/>
          <w:szCs w:val="18"/>
        </w:rPr>
        <w:t>6六</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【C6】</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24"/>
        <w:tblW w:w="83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325"/>
        <w:gridCol w:w="5311"/>
        <w:gridCol w:w="17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风险评级</w:t>
            </w:r>
          </w:p>
        </w:tc>
        <w:tc>
          <w:tcPr>
            <w:tcW w:w="5311"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评级说明</w:t>
            </w:r>
          </w:p>
        </w:tc>
        <w:tc>
          <w:tcPr>
            <w:tcW w:w="1713"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投资者对象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安逸型（R1）</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本金风险低，产品投资目标不能实现的概率较低；或投资范围仅限于货币市场工具等风险极低的短期金融资产。</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谨慎型（R2）</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本金风险相对较小，收益浮动但相对较小。产品结构简单，过往业绩及净值的历史波动率低；投资标的流动性很好或为较高等级的信用主体；或者衍生品及杠杆交易对净值波动极小；估值政策清晰。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稳健型（R3）</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增长型（R4）</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进取型（R5）</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激进型（R6）</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理财产品的信息披露将通过兴业银行</w:t>
      </w:r>
      <w:r>
        <w:rPr>
          <w:rFonts w:asciiTheme="minorEastAsia" w:hAnsiTheme="minorEastAsia"/>
          <w:sz w:val="18"/>
          <w:szCs w:val="18"/>
        </w:rPr>
        <w:t>或</w:t>
      </w:r>
      <w:r>
        <w:rPr>
          <w:rFonts w:hint="eastAsia" w:asciiTheme="minorEastAsia" w:hAnsiTheme="minorEastAsia"/>
          <w:sz w:val="18"/>
          <w:szCs w:val="18"/>
        </w:rPr>
        <w:t>销售机构</w:t>
      </w:r>
      <w:r>
        <w:rPr>
          <w:rFonts w:hint="eastAsia" w:ascii="宋体" w:hAnsi="宋体"/>
          <w:bCs/>
          <w:sz w:val="18"/>
          <w:szCs w:val="18"/>
        </w:rPr>
        <w:t>的信息披露渠道（包括但不限于兴业</w:t>
      </w:r>
      <w:r>
        <w:rPr>
          <w:rFonts w:ascii="宋体" w:hAnsi="宋体"/>
          <w:bCs/>
          <w:sz w:val="18"/>
          <w:szCs w:val="18"/>
        </w:rPr>
        <w:t>银</w:t>
      </w:r>
      <w:r>
        <w:rPr>
          <w:rFonts w:hint="eastAsia" w:ascii="宋体" w:hAnsi="宋体"/>
          <w:bCs/>
          <w:sz w:val="18"/>
          <w:szCs w:val="18"/>
        </w:rPr>
        <w:t>行或销售机构的营业网点、门户网站、电子销售渠道等）进行。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信息披露条款</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ascii="宋体" w:hAnsi="宋体"/>
          <w:sz w:val="18"/>
          <w:szCs w:val="18"/>
        </w:rPr>
        <w:t>通过</w:t>
      </w:r>
      <w:r>
        <w:rPr>
          <w:rFonts w:hint="eastAsia" w:ascii="宋体" w:hAnsi="宋体"/>
          <w:sz w:val="18"/>
          <w:szCs w:val="18"/>
        </w:rPr>
        <w:t>兴业银行（作为销售机构）购</w:t>
      </w:r>
      <w:r>
        <w:rPr>
          <w:rFonts w:ascii="宋体" w:hAnsi="宋体"/>
          <w:sz w:val="18"/>
          <w:szCs w:val="18"/>
        </w:rPr>
        <w:t>买本产品的请联系兴业银行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Pr>
        <w:autoSpaceDE w:val="0"/>
        <w:autoSpaceDN w:val="0"/>
        <w:adjustRightInd w:val="0"/>
        <w:jc w:val="left"/>
        <w:rPr>
          <w:rFonts w:ascii="仿宋_GB2312" w:eastAsia="仿宋_GB2312" w:cs="仿宋_GB2312"/>
          <w:color w:val="000000"/>
          <w:kern w:val="0"/>
          <w:sz w:val="24"/>
          <w:szCs w:val="24"/>
        </w:rPr>
      </w:pPr>
    </w:p>
    <w:p>
      <w:pPr>
        <w:autoSpaceDE w:val="0"/>
        <w:autoSpaceDN w:val="0"/>
        <w:adjustRightInd w:val="0"/>
        <w:jc w:val="left"/>
        <w:rPr>
          <w:rFonts w:ascii="仿宋_GB2312" w:eastAsia="仿宋_GB2312" w:cs="仿宋_GB2312"/>
          <w:color w:val="000000"/>
          <w:kern w:val="0"/>
          <w:sz w:val="24"/>
          <w:szCs w:val="24"/>
        </w:rPr>
      </w:pPr>
    </w:p>
    <w:p>
      <w:pPr>
        <w:jc w:val="right"/>
        <w:rPr>
          <w:rFonts w:ascii="宋体" w:hAnsi="宋体"/>
          <w:sz w:val="18"/>
          <w:szCs w:val="18"/>
        </w:rPr>
      </w:pPr>
    </w:p>
    <w:p>
      <w:pPr>
        <w:ind w:right="84" w:rightChars="40"/>
        <w:jc w:val="right"/>
        <w:rPr>
          <w:rFonts w:ascii="宋体" w:hAnsi="宋体"/>
          <w:sz w:val="18"/>
          <w:szCs w:val="18"/>
        </w:rPr>
      </w:pPr>
      <w:r>
        <w:rPr>
          <w:rFonts w:ascii="宋体" w:hAnsi="宋体"/>
          <w:sz w:val="18"/>
          <w:szCs w:val="18"/>
        </w:rPr>
        <w:t xml:space="preserve"> </w:t>
      </w: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80" w:lineRule="atLeast"/>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spacing w:line="280" w:lineRule="atLeast"/>
        <w:jc w:val="center"/>
        <w:rPr>
          <w:rFonts w:hAnsi="宋体"/>
          <w:b/>
          <w:color w:val="auto"/>
          <w:sz w:val="28"/>
          <w:szCs w:val="28"/>
        </w:rPr>
      </w:pPr>
      <w:r>
        <w:rPr>
          <w:rFonts w:hint="eastAsia" w:hAnsi="宋体"/>
          <w:b/>
          <w:color w:val="auto"/>
          <w:sz w:val="28"/>
          <w:szCs w:val="28"/>
        </w:rPr>
        <w:t>（适用于机构投资者：</w:t>
      </w:r>
      <w:r>
        <w:rPr>
          <w:rFonts w:hAnsi="宋体"/>
          <w:b/>
          <w:color w:val="auto"/>
          <w:sz w:val="28"/>
          <w:szCs w:val="28"/>
        </w:rPr>
        <w:t>一般机构客户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 】以(□ 直销：产品管理人销售/</w:t>
      </w:r>
      <w:r>
        <w:rPr>
          <w:rFonts w:hint="eastAsia" w:asciiTheme="majorEastAsia" w:hAnsiTheme="majorEastAsia" w:eastAsiaTheme="majorEastAsia"/>
          <w:bCs/>
          <w:color w:val="000000" w:themeColor="text1"/>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您首次购买兴银理财的理财产品前，需要进行风险承受能力评估，填写《机构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宋体" w:hAnsi="宋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 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投资者风险承受能力，机构投资者由低至高分为【C1至C5五个等级】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【C5】</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24"/>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R1</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低风险理财产品。理财产品的总体风险很低，净值波动很小，理财投资本金遭受损失的可能性很低，且产品具有较高的流动性。</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R2</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较低风险理财产品。理财产品的总体风险较低，净值波动较小，理财投资本金遭受损失的可能性较低。</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R3</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中等风险理财产品。理财产品的总体风险适中，净值波动明显，产品本金出现损失的可能性不容忽视。</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R4</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较高风险理财产品。理财产品的总体风险较高，净值波动明显，产品本金出现损失的可能性较高。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R5</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高风险理财产品。理财产品的总体风险程度高，净值波动明显，产品本金出现重大损失的可能性高。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Pr>
        <w:autoSpaceDE w:val="0"/>
        <w:autoSpaceDN w:val="0"/>
        <w:adjustRightInd w:val="0"/>
        <w:spacing w:line="280" w:lineRule="atLeast"/>
        <w:jc w:val="left"/>
        <w:rPr>
          <w:rFonts w:ascii="仿宋_GB2312" w:eastAsia="仿宋_GB2312" w:cs="仿宋_GB2312"/>
          <w:color w:val="000000"/>
          <w:kern w:val="0"/>
          <w:sz w:val="24"/>
          <w:szCs w:val="24"/>
        </w:rPr>
      </w:pPr>
    </w:p>
    <w:p>
      <w:pPr>
        <w:autoSpaceDE w:val="0"/>
        <w:autoSpaceDN w:val="0"/>
        <w:adjustRightInd w:val="0"/>
        <w:spacing w:line="280" w:lineRule="atLeast"/>
        <w:jc w:val="left"/>
        <w:rPr>
          <w:rFonts w:ascii="仿宋_GB2312" w:eastAsia="仿宋_GB2312" w:cs="仿宋_GB2312"/>
          <w:color w:val="000000"/>
          <w:kern w:val="0"/>
          <w:sz w:val="24"/>
          <w:szCs w:val="24"/>
        </w:rPr>
      </w:pPr>
    </w:p>
    <w:p>
      <w:pPr>
        <w:spacing w:line="280" w:lineRule="atLeast"/>
        <w:jc w:val="right"/>
        <w:rPr>
          <w:rFonts w:ascii="宋体" w:hAnsi="宋体"/>
          <w:sz w:val="18"/>
          <w:szCs w:val="18"/>
        </w:rPr>
      </w:pPr>
    </w:p>
    <w:p>
      <w:pPr>
        <w:spacing w:line="280" w:lineRule="atLeast"/>
        <w:ind w:right="84" w:rightChars="40"/>
        <w:jc w:val="right"/>
        <w:rPr>
          <w:rFonts w:ascii="宋体" w:hAnsi="宋体"/>
          <w:sz w:val="18"/>
          <w:szCs w:val="18"/>
        </w:rPr>
      </w:pPr>
    </w:p>
    <w:p>
      <w:pPr>
        <w:widowControl/>
        <w:spacing w:line="280" w:lineRule="atLeast"/>
        <w:jc w:val="left"/>
        <w:rPr>
          <w:rFonts w:ascii="宋体" w:hAnsi="宋体"/>
          <w:b/>
          <w:sz w:val="28"/>
          <w:szCs w:val="28"/>
        </w:rPr>
      </w:pPr>
      <w:r>
        <w:rPr>
          <w:rFonts w:ascii="宋体" w:hAnsi="宋体"/>
          <w:b/>
          <w:sz w:val="28"/>
          <w:szCs w:val="28"/>
        </w:rPr>
        <w:br w:type="page"/>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jc w:val="center"/>
        <w:rPr>
          <w:rFonts w:hAnsi="宋体"/>
          <w:b/>
          <w:color w:val="auto"/>
          <w:sz w:val="28"/>
          <w:szCs w:val="28"/>
        </w:rPr>
      </w:pPr>
      <w:r>
        <w:rPr>
          <w:rFonts w:hint="eastAsia" w:hAnsi="宋体"/>
          <w:b/>
          <w:color w:val="auto"/>
          <w:sz w:val="28"/>
          <w:szCs w:val="28"/>
        </w:rPr>
        <w:t>（适用于机构投资者：金融</w:t>
      </w:r>
      <w:r>
        <w:rPr>
          <w:rFonts w:hAnsi="宋体"/>
          <w:b/>
          <w:color w:val="auto"/>
          <w:sz w:val="28"/>
          <w:szCs w:val="28"/>
        </w:rPr>
        <w:t>同业客户</w:t>
      </w:r>
      <w:r>
        <w:rPr>
          <w:rFonts w:hint="eastAsia" w:hAnsi="宋体"/>
          <w:b/>
          <w:color w:val="auto"/>
          <w:sz w:val="28"/>
          <w:szCs w:val="28"/>
        </w:rPr>
        <w:t>）</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宋体" w:hAnsi="宋体"/>
          <w:sz w:val="18"/>
          <w:szCs w:val="18"/>
          <w:lang w:val="en-US" w:eastAsia="zh-CN"/>
        </w:rPr>
        <w:t xml:space="preserve"> </w:t>
      </w:r>
      <w:r>
        <w:rPr>
          <w:rFonts w:hint="eastAsia" w:ascii="宋体" w:hAnsi="宋体"/>
          <w:sz w:val="18"/>
          <w:szCs w:val="18"/>
        </w:rPr>
        <w:t>】以(□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1" w:firstLineChars="200"/>
        <w:rPr>
          <w:rFonts w:ascii="宋体" w:hAnsi="宋体"/>
          <w:b/>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0" w:firstLineChars="200"/>
        <w:rPr>
          <w:rFonts w:ascii="宋体" w:hAnsi="宋体"/>
          <w:sz w:val="18"/>
          <w:szCs w:val="18"/>
        </w:rPr>
      </w:pPr>
      <w:r>
        <w:rPr>
          <w:rFonts w:hint="eastAsia" w:ascii="宋体" w:hAnsi="宋体"/>
          <w:sz w:val="18"/>
          <w:szCs w:val="18"/>
        </w:rPr>
        <w:t>鉴于您为金融同业客户，销售机构暂不对您进行风险承受能力评估，请您根据您自身的</w:t>
      </w:r>
      <w:r>
        <w:rPr>
          <w:rFonts w:ascii="宋体" w:hAnsi="宋体"/>
          <w:sz w:val="18"/>
          <w:szCs w:val="18"/>
        </w:rPr>
        <w:t>风险承受能力购买</w:t>
      </w:r>
      <w:r>
        <w:rPr>
          <w:rFonts w:hint="eastAsia" w:ascii="宋体" w:hAnsi="宋体"/>
          <w:sz w:val="18"/>
          <w:szCs w:val="18"/>
        </w:rPr>
        <w:t>产品风险评级适合您的</w:t>
      </w:r>
      <w:r>
        <w:rPr>
          <w:rFonts w:ascii="宋体" w:hAnsi="宋体"/>
          <w:sz w:val="18"/>
          <w:szCs w:val="18"/>
        </w:rPr>
        <w:t>理财产品</w:t>
      </w:r>
      <w:r>
        <w:rPr>
          <w:rFonts w:hint="eastAsia" w:ascii="宋体" w:hAnsi="宋体"/>
          <w:sz w:val="18"/>
          <w:szCs w:val="18"/>
        </w:rPr>
        <w:t>。</w:t>
      </w:r>
    </w:p>
    <w:p>
      <w:pPr>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ind w:firstLine="361" w:firstLineChars="200"/>
        <w:rPr>
          <w:rFonts w:asciiTheme="minorEastAsia" w:hAnsiTheme="minorEastAsia"/>
          <w:b/>
          <w:bCs/>
          <w:sz w:val="18"/>
          <w:szCs w:val="18"/>
        </w:rPr>
      </w:pPr>
      <w:r>
        <w:rPr>
          <w:rFonts w:hint="eastAsia" w:ascii="宋体" w:hAnsi="宋体"/>
          <w:b/>
          <w:bCs/>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
      <w:pPr>
        <w:spacing w:line="360" w:lineRule="auto"/>
        <w:jc w:val="left"/>
        <w:rPr>
          <w:rFonts w:hint="eastAsia" w:ascii="宋体" w:hAnsi="宋体"/>
          <w:b/>
          <w:sz w:val="18"/>
          <w:szCs w:val="18"/>
        </w:rPr>
      </w:pPr>
    </w:p>
    <w:bookmarkEnd w:id="243"/>
    <w:sectPr>
      <w:headerReference r:id="rId17" w:type="default"/>
      <w:footerReference r:id="rId18"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roman"/>
    <w:pitch w:val="default"/>
    <w:sig w:usb0="00000000" w:usb1="00000000" w:usb2="00000000" w:usb3="00000000" w:csb0="00000000" w:csb1="00000000"/>
  </w:font>
  <w:font w:name="Cambria">
    <w:panose1 w:val="02040503050406030204"/>
    <w:charset w:val="00"/>
    <w:family w:val="roman"/>
    <w:pitch w:val="default"/>
    <w:sig w:usb0="E00006FF" w:usb1="400004FF" w:usb2="00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4</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4</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36</w:t>
        </w:r>
        <w:r>
          <w:fldChar w:fldCharType="end"/>
        </w:r>
      </w:p>
    </w:sdtContent>
  </w:sdt>
  <w:p>
    <w:pPr>
      <w:pStyle w:val="8"/>
      <w:jc w:val="both"/>
      <w:rPr>
        <w:rFonts w:ascii="黑体" w:hAnsi="黑体" w:eastAsia="黑体"/>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3202528"/>
    </w:sdtPr>
    <w:sdtContent>
      <w:p>
        <w:pPr>
          <w:pStyle w:val="14"/>
          <w:jc w:val="center"/>
        </w:pPr>
        <w:r>
          <w:rPr>
            <w:rFonts w:hint="eastAsia"/>
          </w:rPr>
          <w:t>第</w:t>
        </w:r>
        <w:r>
          <w:fldChar w:fldCharType="begin"/>
        </w:r>
        <w:r>
          <w:instrText xml:space="preserve">PAGE   \* MERGEFORMAT</w:instrText>
        </w:r>
        <w:r>
          <w:fldChar w:fldCharType="separate"/>
        </w:r>
        <w:r>
          <w:rPr>
            <w:lang w:val="zh-CN"/>
          </w:rPr>
          <w:t>2</w:t>
        </w:r>
        <w:r>
          <w:fldChar w:fldCharType="end"/>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b/>
      </w:rPr>
      <w:t>投资协议书</w:t>
    </w:r>
  </w:p>
  <w:p>
    <w:pPr>
      <w:pStyle w:val="1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b/>
      </w:rPr>
      <w:t>投资协议书</w:t>
    </w:r>
  </w:p>
  <w:p>
    <w:pPr>
      <w:pStyle w:val="1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pPr>
      <w:pStyle w:val="15"/>
      <w:pBdr>
        <w:bottom w:val="thickThinLargeGap" w:color="auto" w:sz="24" w:space="10"/>
      </w:pBdr>
      <w:tabs>
        <w:tab w:val="right" w:pos="8280"/>
      </w:tabs>
      <w:wordWrap w:val="0"/>
      <w:adjustRightInd w:val="0"/>
      <w:jc w:val="right"/>
      <w:rPr>
        <w:b/>
      </w:rPr>
    </w:pPr>
    <w:r>
      <w:rPr>
        <w:rFonts w:hint="eastAsia"/>
        <w:b/>
      </w:rPr>
      <w:t>本文件由兴银理财有限责任公司统一编制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15"/>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ind w:firstLine="180" w:firstLineChars="100"/>
      <w:jc w:val="right"/>
    </w:pPr>
    <w:r>
      <w:rPr>
        <w:rFonts w:hint="eastAsia"/>
      </w:rPr>
      <w:t>投资者权益须知</w:t>
    </w:r>
  </w:p>
  <w:p>
    <w:pPr>
      <w:pStyle w:val="15"/>
      <w:pBdr>
        <w:bottom w:val="thickThinLargeGap" w:color="auto" w:sz="24" w:space="10"/>
      </w:pBdr>
      <w:tabs>
        <w:tab w:val="right" w:pos="8280"/>
      </w:tabs>
      <w:wordWrap w:val="0"/>
      <w:adjustRightInd w:val="0"/>
      <w:ind w:firstLine="181" w:firstLineChars="10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3FB"/>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C785B"/>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040"/>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0294"/>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992"/>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384F"/>
    <w:rsid w:val="002F467D"/>
    <w:rsid w:val="002F5D80"/>
    <w:rsid w:val="002F6D00"/>
    <w:rsid w:val="002F7889"/>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69EA"/>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5BFE"/>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92F"/>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3525"/>
    <w:rsid w:val="006001EC"/>
    <w:rsid w:val="00605764"/>
    <w:rsid w:val="00605F23"/>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43BC"/>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597"/>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4B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0B36"/>
    <w:rsid w:val="00871266"/>
    <w:rsid w:val="00871450"/>
    <w:rsid w:val="008739A5"/>
    <w:rsid w:val="00892E58"/>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D5E1E"/>
    <w:rsid w:val="008E5137"/>
    <w:rsid w:val="008E5682"/>
    <w:rsid w:val="008E67DB"/>
    <w:rsid w:val="008E6FBA"/>
    <w:rsid w:val="008F0E09"/>
    <w:rsid w:val="008F14E7"/>
    <w:rsid w:val="008F24C8"/>
    <w:rsid w:val="008F2BE2"/>
    <w:rsid w:val="00905340"/>
    <w:rsid w:val="0090798A"/>
    <w:rsid w:val="00907AEC"/>
    <w:rsid w:val="00911B78"/>
    <w:rsid w:val="009122AA"/>
    <w:rsid w:val="00914791"/>
    <w:rsid w:val="0091725B"/>
    <w:rsid w:val="00925A17"/>
    <w:rsid w:val="00927AE1"/>
    <w:rsid w:val="00930B62"/>
    <w:rsid w:val="0093239E"/>
    <w:rsid w:val="00933BBA"/>
    <w:rsid w:val="00933D38"/>
    <w:rsid w:val="00944C6F"/>
    <w:rsid w:val="00947DAA"/>
    <w:rsid w:val="0095255D"/>
    <w:rsid w:val="00952B18"/>
    <w:rsid w:val="0095500C"/>
    <w:rsid w:val="0095516F"/>
    <w:rsid w:val="009559AB"/>
    <w:rsid w:val="00961CD3"/>
    <w:rsid w:val="0096677D"/>
    <w:rsid w:val="00971161"/>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0507"/>
    <w:rsid w:val="00A81ECE"/>
    <w:rsid w:val="00A84912"/>
    <w:rsid w:val="00A879D0"/>
    <w:rsid w:val="00A87A12"/>
    <w:rsid w:val="00A90D98"/>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5E1"/>
    <w:rsid w:val="00B3762A"/>
    <w:rsid w:val="00B4101D"/>
    <w:rsid w:val="00B41509"/>
    <w:rsid w:val="00B41BD4"/>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72E7B"/>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27E2D"/>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2FC4"/>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7357"/>
    <w:rsid w:val="00EF191E"/>
    <w:rsid w:val="00EF4162"/>
    <w:rsid w:val="00EF6103"/>
    <w:rsid w:val="00EF78C4"/>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68C1939"/>
    <w:rsid w:val="078D6E02"/>
    <w:rsid w:val="0DE20B45"/>
    <w:rsid w:val="0EC469F2"/>
    <w:rsid w:val="117B536C"/>
    <w:rsid w:val="147165C1"/>
    <w:rsid w:val="149E474A"/>
    <w:rsid w:val="22096B58"/>
    <w:rsid w:val="314F5290"/>
    <w:rsid w:val="35C863A1"/>
    <w:rsid w:val="373B4A20"/>
    <w:rsid w:val="3CA25B45"/>
    <w:rsid w:val="416B790C"/>
    <w:rsid w:val="45F574B3"/>
    <w:rsid w:val="477E20CE"/>
    <w:rsid w:val="4D352B81"/>
    <w:rsid w:val="4F9B33E8"/>
    <w:rsid w:val="648448DA"/>
    <w:rsid w:val="6AAF1C3F"/>
    <w:rsid w:val="6DD716B3"/>
    <w:rsid w:val="6E583F53"/>
    <w:rsid w:val="6F494033"/>
    <w:rsid w:val="746F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5" w:themeColor="accent1" w:themeShade="BF"/>
      <w:sz w:val="32"/>
      <w:szCs w:val="32"/>
    </w:rPr>
  </w:style>
  <w:style w:type="paragraph" w:customStyle="1" w:styleId="68">
    <w:name w:val="修订2"/>
    <w:hidden/>
    <w:semiHidden/>
    <w:qFormat/>
    <w:uiPriority w:val="99"/>
    <w:rPr>
      <w:rFonts w:ascii="Times New Roman" w:hAnsi="Times New Roman" w:eastAsia="宋体" w:cs="Times New Roman"/>
      <w:kern w:val="2"/>
      <w:sz w:val="21"/>
      <w:lang w:val="en-US" w:eastAsia="zh-CN" w:bidi="ar-SA"/>
    </w:rPr>
  </w:style>
  <w:style w:type="paragraph" w:customStyle="1" w:styleId="69">
    <w:name w:val="修订3"/>
    <w:hidden/>
    <w:semiHidden/>
    <w:qFormat/>
    <w:uiPriority w:val="99"/>
    <w:rPr>
      <w:rFonts w:ascii="Times New Roman" w:hAnsi="Times New Roman" w:eastAsia="宋体" w:cs="Times New Roman"/>
      <w:kern w:val="2"/>
      <w:sz w:val="21"/>
      <w:lang w:val="en-US" w:eastAsia="zh-CN" w:bidi="ar-SA"/>
    </w:rPr>
  </w:style>
  <w:style w:type="paragraph" w:customStyle="1" w:styleId="70">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5"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2CE8FA-E00C-4353-8D3A-3F7053261E1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1511</Words>
  <Characters>8616</Characters>
  <Lines>71</Lines>
  <Paragraphs>20</Paragraphs>
  <TotalTime>0</TotalTime>
  <ScaleCrop>false</ScaleCrop>
  <LinksUpToDate>false</LinksUpToDate>
  <CharactersWithSpaces>10107</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admin</cp:lastModifiedBy>
  <cp:lastPrinted>2017-10-31T06:33:00Z</cp:lastPrinted>
  <dcterms:modified xsi:type="dcterms:W3CDTF">2022-09-16T07:45:05Z</dcterms:modified>
  <dc:title>___证券投资基金招募说明书1</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C166FDD168F74BAFB715BD6389AD620E</vt:lpwstr>
  </property>
</Properties>
</file>