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tiff" ContentType="image/tif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w:body>
    <w:tbl>
      <w:tblPr>
        <w:tblLayout w:type="fixed"/>
      </w:tblPr>
      <w:tblGrid>
        <w:gridCol w:w="1"/>
        <w:gridCol w:w="3020"/>
        <w:gridCol w:w="380"/>
        <w:gridCol w:w="2000"/>
        <w:gridCol w:w="2000"/>
        <w:gridCol w:w="2620"/>
        <w:gridCol w:w="680"/>
        <w:gridCol w:w="1"/>
      </w:tblGrid>
      <w:tr>
        <w:trPr>
          <w:trHeight w:hRule="exact" w:val="0"/>
        </w:trPr>
        <w:tc>
          <w:tcPr>
     </w:tcPr>
          <w:p>
            <w:pPr>
              <w:pStyle w:val="EMPTY_CELL_STYLE"/>
            </w:pPr>
            <w:bookmarkStart w:id="0" w:name="JR_PAGE_ANCHOR_0_1"/>
            <w:bookmarkEnd w:id="0"/>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6"/>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6"/>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r>
      <w:tr>
        <w:trPr>
          <w:trHeight w:hRule="exact" w:val="96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3020"/>
        </w:trPr>
        <w:tc>
          <w:tcPr>
     </w:tcPr>
          <w:p>
            <w:pPr>
              <w:pStyle w:val="EMPTY_CELL_STYLE"/>
            </w:pPr>
          </w:p>
        </w:tc>
        <w:tc>
          <w:tcPr>
            <w:gridSpan w:val="6"/>
            <w:tcMar>
              <w:top w:w="0" w:type="dxa"/>
              <w:left w:w="0" w:type="dxa"/>
              <w:bottom w:w="0" w:type="dxa"/>
              <w:right w:w="0" w:type="dxa"/>
            </w:tcMar>
            <w:vAlign w:val="center"/>
          </w:tcPr>
          <w:p>
            <w:pPr>
              <w:ind/>
              <w:jc w:val="center"/>
              <w:spacing w:lineRule="auto" w:line="360" w:after="0" w:before="0"/>
            </w:pPr>
            <w:r>
              <w:rPr>
                <w:rFonts w:ascii="宋体" w:hAnsi="宋体" w:eastAsia="宋体" w:cs="宋体"/>
                <w:color w:val="000000"/>
                <w:sz w:val="32"/>
                <w:b w:val="true"/>
              </w:rPr>
              <w:t xml:space="preserve">兴业银行天天万利宝稳利1号净值型理财产品L款</w:t>
              <w:br/>
              <w:t xml:space="preserve">2022年第二季度报告</w:t>
            </w:r>
          </w:p>
        </w:tc>
        <w:tc>
          <w:tcPr>
     </w:tcPr>
          <w:p>
            <w:pPr>
              <w:pStyle w:val="EMPTY_CELL_STYLE"/>
            </w:pPr>
          </w:p>
        </w:tc>
      </w:tr>
      <w:tr>
        <w:trPr>
          <w:trHeight w:hRule="exact" w:val="66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500"/>
        </w:trPr>
        <w:tc>
          <w:tcPr>
     </w:tcPr>
          <w:p>
            <w:pPr>
              <w:pStyle w:val="EMPTY_CELL_STYLE"/>
            </w:pPr>
          </w:p>
        </w:tc>
        <w:tc>
          <w:tcPr>
     </w:tcPr>
          <w:p>
            <w:pPr>
              <w:pStyle w:val="EMPTY_CELL_STYLE"/>
            </w:pPr>
          </w:p>
        </w:tc>
        <w:tc>
          <w:tcPr>
            <w:gridSpan w:val="4"/>
            <w:tcMar>
              <w:top w:w="0" w:type="dxa"/>
              <w:left w:w="0" w:type="dxa"/>
              <w:bottom w:w="0" w:type="dxa"/>
              <w:right w:w="0" w:type="dxa"/>
            </w:tcMar>
            <w:vAlign w:val="center"/>
          </w:tcPr>
          <w:p>
            <w:pPr>
              <w:ind/>
              <w:jc w:val="left"/>
            </w:pPr>
            <w:r>
              <w:rPr>
                <w:rFonts w:ascii="宋体" w:hAnsi="宋体" w:eastAsia="宋体" w:cs="宋体"/>
                <w:color w:val="000000"/>
                <w:sz w:val="24"/>
              </w:rPr>
              <w:t xml:space="preserve">理财产品管理人：兴银理财有限责任公司</w:t>
            </w:r>
          </w:p>
        </w:tc>
        <w:tc>
          <w:tcPr>
     </w:tcPr>
          <w:p>
            <w:pPr>
              <w:pStyle w:val="EMPTY_CELL_STYLE"/>
            </w:pPr>
          </w:p>
        </w:tc>
        <w:tc>
          <w:tcPr>
     </w:tcPr>
          <w:p>
            <w:pPr>
              <w:pStyle w:val="EMPTY_CELL_STYLE"/>
            </w:pPr>
          </w:p>
        </w:tc>
      </w:tr>
      <w:tr>
        <w:trPr>
          <w:trHeight w:hRule="atLeast" w:val="500"/>
        </w:trPr>
        <w:tc>
          <w:tcPr>
     </w:tcPr>
          <w:p>
            <w:pPr>
              <w:pStyle w:val="EMPTY_CELL_STYLE"/>
            </w:pPr>
          </w:p>
        </w:tc>
        <w:tc>
          <w:tcPr>
     </w:tcPr>
          <w:p>
            <w:pPr>
              <w:pStyle w:val="EMPTY_CELL_STYLE"/>
            </w:pPr>
          </w:p>
        </w:tc>
        <w:tc>
          <w:tcPr>
            <w:gridSpan w:val="4"/>
            <w:tcMar>
              <w:top w:w="0" w:type="dxa"/>
              <w:left w:w="0" w:type="dxa"/>
              <w:bottom w:w="0" w:type="dxa"/>
              <w:right w:w="0" w:type="dxa"/>
            </w:tcMar>
            <w:vAlign w:val="center"/>
          </w:tcPr>
          <w:p>
            <w:pPr>
              <w:ind/>
              <w:jc w:val="left"/>
            </w:pPr>
            <w:r>
              <w:rPr>
                <w:rFonts w:ascii="宋体" w:hAnsi="宋体" w:eastAsia="宋体" w:cs="宋体"/>
                <w:color w:val="000000"/>
                <w:sz w:val="24"/>
              </w:rPr>
              <w:t xml:space="preserve">理财产品托管人：兴业银行股份有限公司</w:t>
            </w:r>
          </w:p>
        </w:tc>
        <w:tc>
          <w:tcPr>
     </w:tcPr>
          <w:p>
            <w:pPr>
              <w:pStyle w:val="EMPTY_CELL_STYLE"/>
            </w:pPr>
          </w:p>
        </w:tc>
        <w:tc>
          <w:tcPr>
     </w:tcPr>
          <w:p>
            <w:pPr>
              <w:pStyle w:val="EMPTY_CELL_STYLE"/>
            </w:pPr>
          </w:p>
        </w:tc>
      </w:tr>
      <w:tr>
        <w:trPr>
          <w:trHeight w:hRule="atLeast" w:val="500"/>
        </w:trPr>
        <w:tc>
          <w:tcPr>
     </w:tcPr>
          <w:p>
            <w:pPr>
              <w:pStyle w:val="EMPTY_CELL_STYLE"/>
            </w:pPr>
          </w:p>
        </w:tc>
        <w:tc>
          <w:tcPr>
     </w:tcPr>
          <w:p>
            <w:pPr>
              <w:pStyle w:val="EMPTY_CELL_STYLE"/>
            </w:pPr>
          </w:p>
        </w:tc>
        <w:tc>
          <w:tcPr>
            <w:gridSpan w:val="4"/>
            <w:tcMar>
              <w:top w:w="0" w:type="dxa"/>
              <w:left w:w="0" w:type="dxa"/>
              <w:bottom w:w="0" w:type="dxa"/>
              <w:right w:w="0" w:type="dxa"/>
            </w:tcMar>
            <w:vAlign w:val="center"/>
          </w:tcPr>
          <w:p>
            <w:pPr>
              <w:ind/>
              <w:jc w:val="left"/>
            </w:pPr>
            <w:r>
              <w:rPr>
                <w:rFonts w:ascii="宋体" w:hAnsi="宋体" w:eastAsia="宋体" w:cs="宋体"/>
                <w:color w:val="000000"/>
                <w:sz w:val="24"/>
              </w:rPr>
              <w:t xml:space="preserve">报告送出日期：2022年7月21日</w:t>
            </w:r>
          </w:p>
        </w:tc>
        <w:tc>
          <w:tcPr>
     </w:tcPr>
          <w:p>
            <w:pPr>
              <w:pStyle w:val="EMPTY_CELL_STYLE"/>
            </w:pPr>
          </w:p>
        </w:tc>
        <w:tc>
          <w:tcPr>
     </w:tcPr>
          <w:p>
            <w:pPr>
              <w:pStyle w:val="EMPTY_CELL_STYLE"/>
            </w:pPr>
          </w:p>
        </w:tc>
      </w:tr>
      <w:tr>
        <w:trPr>
          <w:trHeight w:hRule="exact" w:val="27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1/</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r>
    </w:tbl>
    <w:tbl>
      <w:tblPr>
        <w:tblLayout w:type="fixed"/>
      </w:tblPr>
      <w:tblGrid>
        <w:gridCol w:w="1"/>
        <w:gridCol w:w="100"/>
        <w:gridCol w:w="3300"/>
        <w:gridCol w:w="1000"/>
        <w:gridCol w:w="1000"/>
        <w:gridCol w:w="1000"/>
        <w:gridCol w:w="1000"/>
        <w:gridCol w:w="3100"/>
        <w:gridCol w:w="200"/>
        <w:gridCol w:w="1"/>
      </w:tblGrid>
      <w:tr>
        <w:trPr>
          <w:trHeight w:hRule="exact" w:val="0"/>
        </w:trPr>
        <w:tc>
          <w:tcPr>
     </w:tcPr>
          <w:p>
            <w:pPr>
              <w:pStyle w:val="EMPTY_CELL_STYLE"/>
              <w:pageBreakBefore/>
            </w:pPr>
            <w:bookmarkStart w:id="1" w:name="JR_PAGE_ANCHOR_0_2"/>
            <w:bookmarkEnd w:id="1"/>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8"/>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8"/>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r>
      <w:tr>
        <w:trPr>
          <w:trHeight w:hRule="exact" w:val="84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gridSpan w:val="2"/>
            <w:tcMar>
              <w:top w:w="0" w:type="dxa"/>
              <w:left w:w="0" w:type="dxa"/>
              <w:bottom w:w="0" w:type="dxa"/>
              <w:right w:w="0" w:type="dxa"/>
            </w:tcMar>
            <w:vAlign w:val="top"/>
          </w:tcPr>
          <w:p>
            <w:pPr>
              <w:ind/>
              <w:jc w:val="center"/>
            </w:pPr>
            <w:r>
              <w:rPr>
                <w:rFonts w:ascii="宋体" w:hAnsi="宋体" w:eastAsia="宋体" w:cs="宋体"/>
                <w:color w:val="000000"/>
                <w:sz w:val="30"/>
                <w:b w:val="true"/>
              </w:rPr>
              <w:t xml:space="preserve">目  录</w:t>
            </w: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44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840"/>
        </w:trPr>
        <w:tc>
          <w:tcPr>
     </w:tcPr>
          <w:p>
            <w:pPr>
              <w:pStyle w:val="EMPTY_CELL_STYLE"/>
            </w:pPr>
          </w:p>
        </w:tc>
        <w:tc>
          <w:tcPr>
     </w:tcPr>
          <w:p>
            <w:pPr>
              <w:pStyle w:val="EMPTY_CELL_STYLE"/>
            </w:pPr>
          </w:p>
        </w:tc>
        <w:tc>
          <w:tcPr>
            <w:gridSpan w:val="6"/>
            <w:tcMar>
              <w:top w:w="0" w:type="dxa"/>
              <w:left w:w="0" w:type="dxa"/>
              <w:bottom w:w="0" w:type="dxa"/>
              <w:right w:w="0" w:type="dxa"/>
            </w:tcMar>
            <w:vAlign w:val="top"/>
          </w:tcPr>
          <w:p>
            <w:pPr>
              <w:ind/>
              <w:jc w:val="left"/>
              <w:spacing w:lineRule="auto" w:line="336" w:after="0" w:before="0"/>
            </w:pPr>
            <w:r>
              <w:rPr>
                <w:rFonts w:ascii="宋体" w:hAnsi="宋体" w:eastAsia="宋体" w:cs="宋体"/>
                <w:color w:val="000000"/>
                <w:sz w:val="21"/>
              </w:rPr>
              <w:t xml:space="preserve">§ 一. 重要提示</w:t>
              <w:br/>
              <w:t xml:space="preserve">§ 二. 产品基本信息</w:t>
              <w:br/>
              <w:t xml:space="preserve">§ 三. 产品收益表现</w:t>
              <w:br/>
              <w:t xml:space="preserve">§ 四. 产品投资经理简介</w:t>
              <w:br/>
              <w:t xml:space="preserve">§ 五. 报告期内产品投资策略</w:t>
              <w:br/>
              <w:t xml:space="preserve">§ 六. 投资组合情况</w:t>
              <w:br/>
              <w:t xml:space="preserve">     1. 报告期末资产组合情况</w:t>
              <w:br/>
              <w:t xml:space="preserve">     2. 报告期末杠杆融资情况</w:t>
              <w:br/>
              <w:t xml:space="preserve">     3. 投资组合的流动性风险分析</w:t>
              <w:br/>
              <w:t xml:space="preserve">     4. 报告期末资产持仓前十基本信息</w:t>
              <w:br/>
              <w:t xml:space="preserve">     5. 报告期间关联交易情况</w:t>
              <w:br/>
              <w:t xml:space="preserve">     6. 投资账户信息</w:t>
            </w:r>
          </w:p>
        </w:tc>
        <w:tc>
          <w:tcPr>
     </w:tcPr>
          <w:p>
            <w:pPr>
              <w:pStyle w:val="EMPTY_CELL_STYLE"/>
            </w:pPr>
          </w:p>
        </w:tc>
        <w:tc>
          <w:tcPr>
     </w:tcPr>
          <w:p>
            <w:pPr>
              <w:pStyle w:val="EMPTY_CELL_STYLE"/>
            </w:pPr>
          </w:p>
        </w:tc>
      </w:tr>
      <w:tr>
        <w:trPr>
          <w:trHeight w:hRule="exact" w:val="608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gridSpan w:val="2"/>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2/</w:t>
            </w:r>
          </w:p>
        </w:tc>
        <w:tc>
          <w:tcPr>
            <w:gridSpan w:val="2"/>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r>
    </w:tbl>
    <w:tbl>
      <w:tblPr>
        <w:tblLayout w:type="fixed"/>
      </w:tblPr>
      <w:tblGrid>
        <w:gridCol w:w="1"/>
        <w:gridCol w:w="3400"/>
        <w:gridCol w:w="740"/>
        <w:gridCol w:w="1260"/>
        <w:gridCol w:w="2000"/>
        <w:gridCol w:w="2800"/>
        <w:gridCol w:w="500"/>
        <w:gridCol w:w="1"/>
      </w:tblGrid>
      <w:tr>
        <w:trPr>
          <w:trHeight w:hRule="exact" w:val="0"/>
        </w:trPr>
        <w:tc>
          <w:tcPr>
     </w:tcPr>
          <w:p>
            <w:pPr>
              <w:pStyle w:val="EMPTY_CELL_STYLE"/>
              <w:pageBreakBefore/>
            </w:pPr>
            <w:bookmarkStart w:id="2" w:name="JR_PAGE_ANCHOR_0_3"/>
            <w:bookmarkEnd w:id="2"/>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6"/>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6"/>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r>
      <w:tr>
        <w:trPr>
          <w:trHeight w:hRule="exact" w:val="6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6"/>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一. 重要提示</w:t>
            </w: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3080"/>
        </w:trPr>
        <w:tc>
          <w:tcPr>
     </w:tcPr>
          <w:p>
            <w:pPr>
              <w:pStyle w:val="EMPTY_CELL_STYLE"/>
            </w:pPr>
          </w:p>
        </w:tc>
        <w:tc>
          <w:tcPr>
            <w:gridSpan w:val="6"/>
            <w:tcBorders>
              <w:top w:val="dotted" w:sz="8" w:space="0" w:color="000000"/>
              <w:left w:val="dotted" w:sz="8" w:space="0" w:color="000000"/>
              <w:bottom w:val="dotted" w:sz="8" w:space="0" w:color="000000"/>
              <w:right w:val="dotted" w:sz="8" w:space="0" w:color="000000"/>
            </w:tcBorders>
            <w:tcMar>
              <w:top w:w="0" w:type="dxa"/>
              <w:left w:w="0" w:type="dxa"/>
              <w:bottom w:w="0" w:type="dxa"/>
              <w:right w:w="0" w:type="dxa"/>
            </w:tcMar>
            <w:vAlign w:val="top"/>
          </w:tcPr>
          <w:p>
            <w:pPr>
              <w:ind/>
              <w:jc w:val="left"/>
              <w:spacing w:lineRule="auto" w:line="360" w:after="0" w:before="0"/>
            </w:pPr>
            <w:r>
              <w:rPr>
                <w:rFonts w:ascii="仿宋" w:hAnsi="仿宋" w:eastAsia="仿宋" w:cs="仿宋"/>
                <w:color w:val="000000"/>
                <w:sz w:val="21"/>
              </w:rPr>
              <w:br/>
              <w:t xml:space="preserve"> 1. 温馨提醒：理财非存款，产品有风险，投资需谨慎！</w:t>
              <w:br/>
              <w:t xml:space="preserve"> 2. 理财信息可供参考，详情请咨询理财经理，或在“中国理财网（www.chinawealth.com.cn）”查询该产品相关信息。</w:t>
              <w:br/>
              <w:t xml:space="preserve"> 3. 兴银理财有限责任公司保留对所有文字说明的最终解释权。</w:t>
              <w:br/>
              <w:t xml:space="preserve"> 4. 投资组合情况（期末资产组合情况、杠杆比例、资产前十持仓等）详情请理财持有人登录网银后进行查询。</w:t>
              <w:br/>
            </w:r>
          </w:p>
        </w:tc>
        <w:tc>
          <w:tcPr>
     </w:tcPr>
          <w:p>
            <w:pPr>
              <w:pStyle w:val="EMPTY_CELL_STYLE"/>
            </w:pPr>
          </w:p>
        </w:tc>
      </w:tr>
      <w:tr>
        <w:trPr>
          <w:trHeight w:hRule="exact" w:val="6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6"/>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二. 产品基本情况</w:t>
            </w: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产品名称</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spacing w:lineRule="auto" w:line="240" w:after="0" w:before="0"/>
            </w:pPr>
            <w:r>
              <w:rPr>
                <w:rFonts w:ascii="宋体" w:hAnsi="宋体" w:eastAsia="宋体" w:cs="宋体"/>
                <w:color w:val="000000"/>
                <w:sz w:val="21"/>
              </w:rPr>
              <w:t xml:space="preserve">兴业银行天天万利宝稳利1号净值型理财产品L款</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产品代码</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9K218030</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全国银行业理财信息登记系统登记编码</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Z7002020000016</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产品运作方式</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开放式</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产品募集方式</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公募</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投资类型</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固定收益类</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报告期末产品份额总额</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10,176,589,976.19份</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业绩比较基准/业绩报酬计提基准</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jc w:val="left"/>
            </w:pPr>
            <w:r>
              <w:rPr>
                <w:rFonts w:ascii="宋体" w:hAnsi="宋体" w:eastAsia="宋体" w:cs="宋体"/>
                <w:color w:val="000000"/>
                <w:sz w:val="21"/>
              </w:rPr>
              <w:t xml:space="preserve">3.60%--4.20%/4.20%</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投资币种</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人民币</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风险等级</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R2</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产品管理人</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pPr>
            <w:r>
              <w:rPr>
                <w:rFonts w:ascii="宋体" w:hAnsi="宋体" w:eastAsia="宋体" w:cs="宋体"/>
                <w:color w:val="000000"/>
                <w:sz w:val="21"/>
              </w:rPr>
              <w:t xml:space="preserve">兴银理财有限责任公司</w:t>
            </w:r>
          </w:p>
        </w:tc>
        <w:tc>
          <w:tcPr>
     </w:tcPr>
          <w:p>
            <w:pPr>
              <w:pStyle w:val="EMPTY_CELL_STYLE"/>
            </w:pPr>
          </w:p>
        </w:tc>
      </w:tr>
      <w:tr>
        <w:trPr>
          <w:trHeight w:hRule="atLeast" w:val="500"/>
        </w:trPr>
        <w:tc>
          <w:tcPr>
     </w:tcPr>
          <w:p>
            <w:pPr>
              <w:pStyle w:val="EMPTY_CELL_STYLE"/>
            </w:pPr>
          </w:p>
        </w:tc>
        <w:tc>
          <w:tcPr>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pPr>
            <w:r>
              <w:rPr>
                <w:rFonts w:ascii="宋体" w:hAnsi="宋体" w:eastAsia="宋体" w:cs="宋体"/>
                <w:color w:val="000000"/>
                <w:sz w:val="21"/>
              </w:rPr>
              <w:t xml:space="preserve">产品托管人</w:t>
            </w:r>
          </w:p>
        </w:tc>
        <w:tc>
          <w:tcPr>
            <w:gridSpan w:val="4"/>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pPr>
              <w:ind w:firstLine="200"/>
              <w:spacing w:lineRule="auto" w:line="240" w:after="0" w:before="0"/>
            </w:pPr>
            <w:r>
              <w:rPr>
                <w:rFonts w:ascii="宋体" w:hAnsi="宋体" w:eastAsia="宋体" w:cs="宋体"/>
                <w:color w:val="000000"/>
                <w:sz w:val="21"/>
              </w:rPr>
              <w:t xml:space="preserve">兴业银行股份有限公司</w:t>
            </w:r>
          </w:p>
        </w:tc>
        <w:tc>
          <w:tcPr>
     </w:tcPr>
          <w:p>
            <w:pPr>
              <w:pStyle w:val="EMPTY_CELL_STYLE"/>
            </w:pPr>
          </w:p>
        </w:tc>
      </w:tr>
      <w:tr>
        <w:trPr>
          <w:trHeight w:hRule="exact" w:val="4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6"/>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三. 产品收益表现</w:t>
            </w:r>
          </w:p>
        </w:tc>
        <w:tc>
          <w:tcPr>
     </w:tcPr>
          <w:p>
            <w:pPr>
              <w:pStyle w:val="EMPTY_CELL_STYLE"/>
            </w:pPr>
          </w:p>
        </w:tc>
      </w:tr>
      <w:tr>
        <w:trPr>
          <w:trHeight w:hRule="exact" w:val="4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firstLine="0"/>
              <w:jc w:val="left"/>
              <w:spacing w:lineRule="exact" w:line="320" w:after="0" w:before="0"/>
            </w:pPr>
            <w:r>
              <w:rPr>
                <w:rFonts w:ascii="宋体" w:hAnsi="宋体" w:eastAsia="宋体" w:cs="宋体"/>
                <w:color w:val="000000"/>
                <w:sz w:val="21"/>
              </w:rPr>
              <w:t xml:space="preserve">产品9K218030自成立日以来，累计净值增长率为14.5850%，年化累计净值增长率为4.3635%。</w:t>
              <w:br/>
              <w:t xml:space="preserve">报告期末，产品净值表现具体如下：</w:t>
            </w:r>
          </w:p>
        </w:tc>
        <w:tc>
          <w:tcPr>
     </w:tcPr>
          <w:p>
            <w:pPr>
              <w:pStyle w:val="EMPTY_CELL_STYLE"/>
            </w:pPr>
          </w:p>
        </w:tc>
        <w:tc>
          <w:tcPr>
     </w:tcPr>
          <w:p>
            <w:pPr>
              <w:pStyle w:val="EMPTY_CELL_STYLE"/>
            </w:pPr>
          </w:p>
        </w:tc>
      </w:tr>
      <w:tr>
        <w:trPr>
          <w:trHeight w:hRule="exact" w:val="9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gridSpan w:val="2"/>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3/</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r>
    </w:tbl>
    <w:tbl>
      <w:tblPr>
        <w:tblLayout w:type="fixed"/>
      </w:tblPr>
      <w:tblGrid>
        <w:gridCol w:w="1"/>
        <w:gridCol w:w="2600"/>
        <w:gridCol w:w="800"/>
        <w:gridCol w:w="1700"/>
        <w:gridCol w:w="300"/>
        <w:gridCol w:w="2000"/>
        <w:gridCol w:w="400"/>
        <w:gridCol w:w="2800"/>
        <w:gridCol w:w="100"/>
        <w:gridCol w:w="1"/>
      </w:tblGrid>
      <w:tr>
        <w:trPr>
          <w:trHeight w:hRule="exact" w:val="0"/>
        </w:trPr>
        <w:tc>
          <w:tcPr>
     </w:tcPr>
          <w:p>
            <w:pPr>
              <w:pStyle w:val="EMPTY_CELL_STYLE"/>
              <w:pageBreakBefore/>
            </w:pPr>
            <w:bookmarkStart w:id="3" w:name="JR_PAGE_ANCHOR_0_4"/>
            <w:bookmarkEnd w:id="3"/>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8"/>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8"/>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shd w:val="clear" w:color="auto" w:fill="BFBFBF"/>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估值日期</w:t>
            </w:r>
          </w:p>
        </w:tc>
        <w:tc>
          <w:tcPr>
            <w:gridSpan w:val="2"/>
            <w:shd w:val="clear" w:color="auto" w:fill="BFBFBF"/>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产品份额净值</w:t>
            </w:r>
          </w:p>
        </w:tc>
        <w:tc>
          <w:tcPr>
            <w:gridSpan w:val="3"/>
            <w:shd w:val="clear" w:color="auto" w:fill="BFBFBF"/>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产品累计净值 </w:t>
            </w:r>
          </w:p>
        </w:tc>
        <w:tc>
          <w:tcPr>
            <w:shd w:val="clear" w:color="auto" w:fill="BFBFBF"/>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产品资产净值</w:t>
            </w:r>
          </w:p>
        </w:tc>
        <w:tc>
          <w:tcPr>
     </w:tcPr>
          <w:p>
            <w:pPr>
              <w:pStyle w:val="EMPTY_CELL_STYLE"/>
            </w:pPr>
          </w:p>
        </w:tc>
        <w:tc>
          <w:tcPr>
     </w:tcPr>
          <w:p>
            <w:pPr>
              <w:pStyle w:val="EMPTY_CELL_STYLE"/>
            </w:pPr>
          </w:p>
        </w:tc>
      </w:tr>
      <w:tr>
        <w:trPr>
          <w:trHeight w:hRule="atLeast" w:val="600"/>
        </w:trPr>
        <w:tc>
          <w:tcPr>
     </w:tcPr>
          <w:p>
            <w:pPr>
              <w:pStyle w:val="EMPTY_CELL_STYLE"/>
            </w:pPr>
          </w:p>
        </w:tc>
        <w:tc>
          <w:tcPr>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rPr>
              <w:t xml:space="preserve">2022年6月30日</w:t>
            </w:r>
          </w:p>
        </w:tc>
        <w:tc>
          <w:tcPr>
            <w:gridSpan w:val="2"/>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rPr>
              <w:t xml:space="preserve">1.01519</w:t>
            </w:r>
          </w:p>
        </w:tc>
        <w:tc>
          <w:tcPr>
            <w:gridSpan w:val="3"/>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rPr>
              <w:t xml:space="preserve">1.14585</w:t>
            </w:r>
          </w:p>
        </w:tc>
        <w:tc>
          <w:tcPr>
            <w:tcBorders>
              <w:top w:val="single" w:sz="8" w:space="0" w:color="080101"/>
              <w:left w:val="single" w:sz="8" w:space="0" w:color="080101"/>
              <w:bottom w:val="single" w:sz="8" w:space="0" w:color="080101"/>
              <w:right w:val="single" w:sz="8" w:space="0" w:color="080101"/>
            </w:tcBorders>
            <w:tcMar>
              <w:top w:w="0" w:type="dxa"/>
              <w:left w:w="0" w:type="dxa"/>
              <w:bottom w:w="0" w:type="dxa"/>
              <w:right w:w="0" w:type="dxa"/>
            </w:tcMar>
            <w:vAlign w:val="center"/>
          </w:tcPr>
          <w:p>
            <w:pPr>
              <w:ind/>
              <w:jc w:val="center"/>
            </w:pPr>
            <w:r>
              <w:rPr>
                <w:rFonts w:ascii="宋体" w:hAnsi="宋体" w:eastAsia="宋体" w:cs="宋体"/>
                <w:color w:val="000000"/>
                <w:sz w:val="21"/>
              </w:rPr>
              <w:t xml:space="preserve">10,331,161,994.53</w:t>
            </w:r>
          </w:p>
        </w:tc>
        <w:tc>
          <w:tcPr>
     </w:tcPr>
          <w:p>
            <w:pPr>
              <w:pStyle w:val="EMPTY_CELL_STYLE"/>
            </w:pPr>
          </w:p>
        </w:tc>
        <w:tc>
          <w:tcPr>
     </w:tcPr>
          <w:p>
            <w:pPr>
              <w:pStyle w:val="EMPTY_CELL_STYLE"/>
            </w:pPr>
          </w:p>
        </w:tc>
      </w:tr>
      <w:tr>
        <w:trPr>
          <w:trHeight w:hRule="exact" w:val="4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8"/>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四. 产品投资经理简介</w:t>
            </w:r>
          </w:p>
        </w:tc>
        <w:tc>
          <w:tcPr>
     </w:tcPr>
          <w:p>
            <w:pPr>
              <w:pStyle w:val="EMPTY_CELL_STYLE"/>
            </w:pPr>
          </w:p>
        </w:tc>
      </w:tr>
      <w:tr>
        <w:trPr>
          <w:trHeight w:hRule="exact" w:val="4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1560"/>
        </w:trPr>
        <w:tc>
          <w:tcPr>
     </w:tcPr>
          <w:p>
            <w:pPr>
              <w:pStyle w:val="EMPTY_CELL_STYLE"/>
            </w:pPr>
          </w:p>
        </w:tc>
        <w:tc>
          <w:tcPr>
            <w:gridSpan w:val="8"/>
            <w:tcMar>
              <w:top w:w="0" w:type="dxa"/>
              <w:left w:w="0" w:type="dxa"/>
              <w:bottom w:w="0" w:type="dxa"/>
              <w:right w:w="0" w:type="dxa"/>
            </w:tcMar>
            <w:vAlign w:val="top"/>
          </w:tcPr>
          <w:p>
            <w:pPr>
              <w:ind w:firstLine="0"/>
              <w:jc w:val="left"/>
              <w:spacing w:lineRule="exact" w:line="320" w:after="0" w:before="0"/>
            </w:pPr>
            <w:r>
              <w:rPr>
                <w:rFonts w:ascii="宋体" w:hAnsi="宋体" w:eastAsia="宋体" w:cs="宋体"/>
                <w:color w:val="000000"/>
                <w:sz w:val="21"/>
              </w:rPr>
              <w:t xml:space="preserve">    徐佳女士，南开大学金融学硕士，北京师范大学经济学和英语双学士，拥有11年金融领域投资交易经验，具有银行间本币交易员资格。历任嘉实基金管理有限公司交易员，于2014年加入兴业银行资产管理部，任兴业银行资产管理部债券投资经理，主要负责债券投资以及固收产品投资管理工作；具有丰富的产品投资管理经验，并积累了丰富的债券投资和交易经验；目前管理逾十只净值型“稳利”系列产品，业绩优异，风格稳健。对宏观和利率走势有专业深入的研判，擅长根据负债属性制定多资产配置策略，并根据市场研判灵活运用多种投资策略。</w:t>
            </w:r>
          </w:p>
        </w:tc>
        <w:tc>
          <w:tcPr>
     </w:tcPr>
          <w:p>
            <w:pPr>
              <w:pStyle w:val="EMPTY_CELL_STYLE"/>
            </w:pPr>
          </w:p>
        </w:tc>
      </w:tr>
      <w:tr>
        <w:trPr>
          <w:trHeight w:hRule="exact" w:val="7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8"/>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五. 报告期内产品的投资策略和运作分析</w:t>
            </w:r>
          </w:p>
        </w:tc>
        <w:tc>
          <w:tcPr>
     </w:tcPr>
          <w:p>
            <w:pPr>
              <w:pStyle w:val="EMPTY_CELL_STYLE"/>
            </w:pPr>
          </w:p>
        </w:tc>
      </w:tr>
      <w:tr>
        <w:trPr>
          <w:trHeight w:hRule="exact" w:val="4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8680"/>
        </w:trPr>
        <w:tc>
          <w:tcPr>
     </w:tcPr>
          <w:p>
            <w:pPr>
              <w:pStyle w:val="EMPTY_CELL_STYLE"/>
            </w:pPr>
          </w:p>
        </w:tc>
        <w:tc>
          <w:tcPr>
            <w:gridSpan w:val="8"/>
            <w:tcMar>
              <w:top w:w="0" w:type="dxa"/>
              <w:left w:w="0" w:type="dxa"/>
              <w:bottom w:w="0" w:type="dxa"/>
              <w:right w:w="0" w:type="dxa"/>
            </w:tcMar>
            <w:vAlign w:val="top"/>
          </w:tcPr>
          <w:p>
            <w:pPr>
              <w:ind w:firstLine="0"/>
              <w:jc w:val="left"/>
              <w:spacing w:lineRule="exact" w:line="320" w:after="0" w:before="0"/>
            </w:pPr>
            <w:r>
              <w:rPr>
                <w:rFonts w:ascii="宋体" w:hAnsi="宋体" w:eastAsia="宋体" w:cs="宋体"/>
                <w:color w:val="000000"/>
                <w:sz w:val="21"/>
              </w:rPr>
              <w:t xml:space="preserve">    一、2022年上半年投资策略与运作回顾</w:t>
              <w:br/>
              <w:t xml:space="preserve">    2022年上半年，长端利率整体震荡，短券表现较好，曲线趋于陡峭，10年国债、3年AAA、1年AAA利率较上年末分别上行5bp、上行4bp和下行33bp，各等级和期限信用利差收窄为主。节奏来看，1月中旬央行宣布降息，货币宽松政策进一步落地，带动长端利率在春节前逐步走低，进入2月，部分地区地产政策出现松动，债市发酵宽信用+春季复苏预期，3月国内股市下跌造成理财固收+产品被赎回，加剧市场调整，10年国债利率上行20-30bp至2.85%左右。3月末至5月中下旬，经济恢复过程被局部疫情推后，货币政策保持宽松，信贷需求不足，债市出现一轮资产荒，期间流动性宽裕的现实与对宽货币预期的谨慎，使得债市收益率曲线趋于陡峭化，10年国债收益率在2.7%-2.85%区间窄幅震荡，1年期存单利率从2.6%趋势下行，一度降至2.25%附近。6月随着上海等地解封，市场逐步交易复苏行情，但资金面仍宽松，长端利率盘整上行。</w:t>
              <w:br/>
              <w:t xml:space="preserve">    产品运作方面，考虑到偏松的货币政策、较弱的经济基本面预期、多地散发的疫情等因素，上半年整体以震荡偏强的市场运作思路来调整组合久期和杠杆等。一季度考虑到降息兑现后利率下行的空间整体有限，产品整体稳健操作，组合久期整体有所下降，二季度随着上海疫情影响加剧，组合适当提高久期。在券种具体操作方面，主要跟踪利差的变动，进行积极调仓，在信用利差显著走扩的情况下，增持了3年内信用债、有所超跌的3-5年大行二级资本债。</w:t>
              <w:br/>
              <w:t xml:space="preserve">    二、下半年投资策略</w:t>
              <w:br/>
              <w:t xml:space="preserve">    6月末以来，长端利率出现较快上行，主要是由于疫情影响消退，市场围绕疫后经济复苏开展交易，财政政策加码亦受到关注。考虑到前期政策靠前发力，复工加速，经济从底部回升，短期内修复斜率可能会比较高，外围仍处于加息环境中，内外因素对债市都偏空，另外市场关注资金面向中性收敛的压力，以上均压制长端利率的表现。市场短期仍面临调整的压力。</w:t>
              <w:br/>
              <w:t xml:space="preserve">    不过我们认为债市整体调整幅度不会太大，经济的持续性修复取决于疫情和地产的发展，还依赖居民收入预期和杠杆行为、财政政策的增量措施、线下消费场景的恢复等，考虑到地产周期和信用周期弹性减弱，债务杠杆可能提升缓慢，货币政策可能偏宽松的资金面，债市调整幅度有限。若财政政策不超预期加码，收益率调整可能是机会，尤其是期限利差压缩的机会。</w:t>
              <w:br/>
              <w:t xml:space="preserve">    利率估值方面，当前绝对水平并不高，考虑到利率中枢下降，有其合理性。各投资机构的久期位于中位数，显示投资者情绪并不极端。</w:t>
              <w:br/>
              <w:t xml:space="preserve">    基于上述对后市的判断，产品将继续保持稳健的投资风格。1、发挥票息策略优势，维持中性偏低的杠杆水平与</w:t>
            </w: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gridSpan w:val="2"/>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4/</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c>
          <w:tcPr>
     </w:tcPr>
          <w:p>
            <w:pPr>
              <w:pStyle w:val="EMPTY_CELL_STYLE"/>
            </w:pPr>
          </w:p>
        </w:tc>
      </w:tr>
    </w:tbl>
    <w:tbl>
      <w:tblPr>
        <w:tblLayout w:type="fixed"/>
      </w:tblPr>
      <w:tblGrid>
        <w:gridCol w:w="1"/>
        <w:gridCol w:w="20"/>
        <w:gridCol w:w="3380"/>
        <w:gridCol w:w="2000"/>
        <w:gridCol w:w="2000"/>
        <w:gridCol w:w="3300"/>
        <w:gridCol w:w="20"/>
        <w:gridCol w:w="1"/>
      </w:tblGrid>
      <w:tr>
        <w:trPr>
          <w:trHeight w:hRule="exact" w:val="0"/>
        </w:trPr>
        <w:tc>
          <w:tcPr>
     </w:tcPr>
          <w:p>
            <w:pPr>
              <w:pStyle w:val="EMPTY_CELL_STYLE"/>
              <w:pageBreakBefore/>
            </w:pPr>
            <w:bookmarkStart w:id="4" w:name="JR_PAGE_ANCHOR_0_5"/>
            <w:bookmarkEnd w:id="4"/>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5"/>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5"/>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c>
          <w:tcPr>
     </w:tcPr>
          <w:p>
            <w:pPr>
              <w:pStyle w:val="EMPTY_CELL_STYLE"/>
            </w:pPr>
          </w:p>
        </w:tc>
      </w:tr>
      <w:tr>
        <w:trPr>
          <w:trHeight w:hRule="atLeast" w:val="580"/>
        </w:trPr>
        <w:tc>
          <w:tcPr>
     </w:tcPr>
          <w:p>
            <w:pPr>
              <w:pStyle w:val="EMPTY_CELL_STYLE"/>
            </w:pPr>
          </w:p>
        </w:tc>
        <w:tc>
          <w:tcPr>
            <w:gridSpan w:val="5"/>
            <w:tcMar>
              <w:top w:w="0" w:type="dxa"/>
              <w:left w:w="0" w:type="dxa"/>
              <w:bottom w:w="0" w:type="dxa"/>
              <w:right w:w="0" w:type="dxa"/>
            </w:tcMar>
            <w:vAlign w:val="top"/>
          </w:tcPr>
          <w:p>
            <w:pPr>
              <w:ind w:firstLine="0"/>
              <w:jc w:val="left"/>
              <w:spacing w:lineRule="exact" w:line="320" w:after="0" w:before="0"/>
            </w:pPr>
            <w:r>
              <w:rPr>
                <w:rFonts w:ascii="宋体" w:hAnsi="宋体" w:eastAsia="宋体" w:cs="宋体"/>
                <w:color w:val="000000"/>
                <w:sz w:val="21"/>
              </w:rPr>
              <w:t xml:space="preserve">中性偏低的组合久期。2、震荡思路对待，把握住利率反弹时的配置机会。3、关注收益率曲线平坦化的可能。4、关注“稳增长”政策加码、通胀对债市的风险。</w:t>
            </w:r>
          </w:p>
        </w:tc>
        <w:tc>
          <w:tcPr>
     </w:tcPr>
          <w:p>
            <w:pPr>
              <w:pStyle w:val="EMPTY_CELL_STYLE"/>
            </w:pPr>
          </w:p>
        </w:tc>
        <w:tc>
          <w:tcPr>
     </w:tcPr>
          <w:p>
            <w:pPr>
              <w:pStyle w:val="EMPTY_CELL_STYLE"/>
            </w:pPr>
          </w:p>
        </w:tc>
      </w:tr>
      <w:tr>
        <w:trPr>
          <w:trHeight w:hRule="exact" w:val="58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jc w:val="center"/>
            </w:pPr>
            <w:r>
              <w:rPr>
                <w:rFonts w:ascii="宋体" w:hAnsi="宋体" w:eastAsia="宋体" w:cs="宋体"/>
                <w:color w:val="000000"/>
                <w:sz w:val="24"/>
                <w:b w:val="true"/>
              </w:rPr>
              <w:t xml:space="preserve">§ 六. 投资组合情况</w:t>
            </w:r>
          </w:p>
        </w:tc>
        <w:tc>
          <w:tcPr>
     </w:tcPr>
          <w:p>
            <w:pPr>
              <w:pStyle w:val="EMPTY_CELL_STYLE"/>
            </w:pP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gridSpan w:val="5"/>
            <w:tcMar>
              <w:top w:w="0" w:type="dxa"/>
              <w:left w:w="0" w:type="dxa"/>
              <w:bottom w:w="0" w:type="dxa"/>
              <w:right w:w="0" w:type="dxa"/>
            </w:tcMar>
            <w:vAlign w:val="center"/>
          </w:tcPr>
          <w:p>
            <w:pPr>
              <w:ind/>
              <w:jc w:val="left"/>
            </w:pPr>
            <w:r>
              <w:rPr>
                <w:rFonts w:ascii="宋体" w:hAnsi="宋体" w:eastAsia="宋体" w:cs="宋体"/>
                <w:color w:val="000000"/>
                <w:sz w:val="21"/>
                <w:b w:val="true"/>
              </w:rPr>
              <w:t xml:space="preserve">1.报告期末产品资产组合情况</w:t>
            </w:r>
          </w:p>
        </w:tc>
        <w:tc>
          <w:tcPr>
     </w:tcPr>
          <w:p>
            <w:pPr>
              <w:pStyle w:val="EMPTY_CELL_STYLE"/>
            </w:pPr>
          </w:p>
        </w:tc>
      </w:tr>
      <w:tr>
        <w:trPr>
          <w:trHeight w:hRule="exact" w:val="4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4200"/>
        </w:trPr>
        <w:tc>
          <w:tcPr>
     </w:tcPr>
          <w:p>
            <w:pPr>
              <w:pStyle w:val="EMPTY_CELL_STYLE"/>
            </w:pPr>
          </w:p>
        </w:tc>
        <w:tc>
          <w:tcPr>
     </w:tcPr>
          <w:p>
            <w:pPr>
              <w:pStyle w:val="EMPTY_CELL_STYLE"/>
            </w:pPr>
          </w:p>
        </w:tc>
        <w:tc>
          <w:tcPr>
            <w:gridSpan w:val="5"/>
            <w:shd w:val="clear" w:color="auto" w:fill="FFFFFF"/>
            <w:tcMar>
              <w:top w:w="0" w:type="dxa"/>
              <w:left w:w="0" w:type="dxa"/>
              <w:bottom w:w="0" w:type="dxa"/>
              <w:right w:w="0" w:type="dxa"/>
            </w:tcMar>
          </w:tcPr>
          <w:tbl>
            <w:tblPr>
              <w:tblLayout w:type="fixed"/>
            </w:tblPr>
            <w:tblGrid>
              <w:gridCol w:w="1000"/>
              <w:gridCol w:w="2600"/>
              <w:gridCol w:w="4000"/>
              <w:gridCol w:w="3100"/>
            </w:tblGrid>
            <w:tr>
              <w:trPr>
                <w:trHeight w:hRule="exact" w:val="600"/>
              </w:trPr>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序号</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资产类型</w:t>
                        </w:r>
                      </w:p>
                    </w:tc>
                  </w:tr>
                </w:tbl>
                <w:p>
                  <w:pPr>
                    <w:pStyle w:val="EMPTY_CELL_STYLE"/>
                  </w:pPr>
                </w:p>
              </w:tc>
              <w:tc>
                <w:tcPr>
                  <w:shd w:val="clear" w:color="auto" w:fill="FFFFFF"/>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直接投资占比（%）</w:t>
                        </w:r>
                      </w:p>
                    </w:tc>
                  </w:tr>
                </w:tbl>
                <w:p>
                  <w:pPr>
                    <w:pStyle w:val="EMPTY_CELL_STYLE"/>
                  </w:pPr>
                </w:p>
              </w:tc>
              <w:tc>
                <w:tcPr>
                  <w:shd w:val="clear" w:color="auto" w:fill="F0F8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间接投资占比（%）</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现金及存款</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9.68</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9.68</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债券投资</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43.57</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43.57</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3</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公募基金</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0.40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0.45</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非标准化债权类资产</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46.30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46.30</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5</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委外投资</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0.05</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0.00</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总计</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100.00</w:t>
                        </w:r>
                      </w:p>
                    </w:tc>
                  </w:tr>
                </w:tbl>
                <w:p>
                  <w:pPr>
                    <w:pStyle w:val="EMPTY_CELL_STYLE"/>
                  </w:pPr>
                </w:p>
              </w:tc>
            </w:tr>
          </w:tbl>
          <w:p>
            <w:pPr>
              <w:pStyle w:val="EMPTY_CELL_STYLE"/>
            </w:pP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jc w:val="left"/>
            </w:pPr>
            <w:r>
              <w:rPr>
                <w:rFonts w:ascii="宋体" w:hAnsi="宋体" w:eastAsia="宋体" w:cs="宋体"/>
                <w:color w:val="000000"/>
                <w:sz w:val="21"/>
                <w:b w:val="true"/>
              </w:rPr>
              <w:t xml:space="preserve">2.报告期末杠杆融资情况</w:t>
            </w:r>
          </w:p>
        </w:tc>
        <w:tc>
          <w:tcPr>
     </w:tcPr>
          <w:p>
            <w:pPr>
              <w:pStyle w:val="EMPTY_CELL_STYLE"/>
            </w:pPr>
          </w:p>
        </w:tc>
        <w:tc>
          <w:tcPr>
     </w:tcPr>
          <w:p>
            <w:pPr>
              <w:pStyle w:val="EMPTY_CELL_STYLE"/>
            </w:pPr>
          </w:p>
        </w:tc>
      </w:tr>
      <w:tr>
        <w:trPr>
          <w:trHeight w:hRule="atLeast" w:val="1000"/>
        </w:trPr>
        <w:tc>
          <w:tcPr>
     </w:tcPr>
          <w:p>
            <w:pPr>
              <w:pStyle w:val="EMPTY_CELL_STYLE"/>
            </w:pPr>
          </w:p>
        </w:tc>
        <w:tc>
          <w:tcPr>
            <w:gridSpan w:val="5"/>
            <w:tcMar>
              <w:top w:w="0" w:type="dxa"/>
              <w:left w:w="0" w:type="dxa"/>
              <w:bottom w:w="0" w:type="dxa"/>
              <w:right w:w="0" w:type="dxa"/>
            </w:tcMar>
            <w:vAlign w:val="top"/>
          </w:tcPr>
          <w:p>
            <w:pPr>
              <w:ind w:firstLine="0"/>
              <w:jc w:val="left"/>
              <w:spacing w:lineRule="exact" w:line="320" w:after="0" w:before="0"/>
            </w:pPr>
            <w:r>
              <w:rPr>
                <w:rFonts w:ascii="宋体" w:hAnsi="宋体" w:eastAsia="宋体" w:cs="宋体"/>
                <w:color w:val="000000"/>
                <w:sz w:val="21"/>
              </w:rPr>
              <w:t xml:space="preserve">    报告期末本产品总资产未超过该产品净资产规模的140%，符合产品协议对本产品杠杆比例的要求。</w:t>
            </w: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jc w:val="left"/>
            </w:pPr>
            <w:r>
              <w:rPr>
                <w:rFonts w:ascii="宋体" w:hAnsi="宋体" w:eastAsia="宋体" w:cs="宋体"/>
                <w:color w:val="000000"/>
                <w:sz w:val="21"/>
                <w:b w:val="true"/>
              </w:rPr>
              <w:t xml:space="preserve">3.投资组合的流动性风险分析</w:t>
            </w:r>
          </w:p>
        </w:tc>
        <w:tc>
          <w:tcPr>
     </w:tcPr>
          <w:p>
            <w:pPr>
              <w:pStyle w:val="EMPTY_CELL_STYLE"/>
            </w:pPr>
          </w:p>
        </w:tc>
        <w:tc>
          <w:tcPr>
     </w:tcPr>
          <w:p>
            <w:pPr>
              <w:pStyle w:val="EMPTY_CELL_STYLE"/>
            </w:pPr>
          </w:p>
        </w:tc>
      </w:tr>
      <w:tr>
        <w:trPr>
          <w:trHeight w:hRule="atLeast" w:val="2580"/>
        </w:trPr>
        <w:tc>
          <w:tcPr>
     </w:tcPr>
          <w:p>
            <w:pPr>
              <w:pStyle w:val="EMPTY_CELL_STYLE"/>
            </w:pPr>
          </w:p>
        </w:tc>
        <w:tc>
          <w:tcPr>
            <w:gridSpan w:val="5"/>
            <w:tcMar>
              <w:top w:w="0" w:type="dxa"/>
              <w:left w:w="0" w:type="dxa"/>
              <w:bottom w:w="0" w:type="dxa"/>
              <w:right w:w="0" w:type="dxa"/>
            </w:tcMar>
            <w:vAlign w:val="top"/>
          </w:tcPr>
          <w:p>
            <w:pPr>
              <w:ind w:firstLine="0"/>
              <w:jc w:val="left"/>
              <w:spacing w:lineRule="exact" w:line="320" w:after="0" w:before="0"/>
            </w:pPr>
            <w:r>
              <w:rPr>
                <w:rFonts w:ascii="宋体" w:hAnsi="宋体" w:eastAsia="宋体" w:cs="宋体"/>
                <w:color w:val="000000"/>
                <w:sz w:val="21"/>
              </w:rPr>
              <w:t xml:space="preserve">    流动性风险是指产品在履行与金融负债有关的义务时遇到资金短缺的风险。本产品的流动性风险一方面来自理财份额持有人可在约定的开放日提出赎回其持有的理财份额，另一方面来自于若投资品种所处的交易市场不活跃，可能带来资产变现困难或产品持仓资产在市场出现剧烈波动的情况下难以以合理价格变现的风险。</w:t>
              <w:br/>
              <w:t xml:space="preserve">    为防范无法支付赎回款而产生的流动性风险，本理财产品管理人将合理安排所投资产期限，持续根据市场变化情况做好投资安排，尽可能降低产品流动性风险，有效保障理财持有人利益。</w:t>
              <w:br/>
              <w:t xml:space="preserve">    报告期内，本理财产品管理人严格遵守相关法律法规以及产品销售协议，对理财产品组合资产的流动性风险进行管理，报告期内未发生流动性风险。</w:t>
              <w:br/>
            </w:r>
          </w:p>
        </w:tc>
        <w:tc>
          <w:tcPr>
     </w:tcPr>
          <w:p>
            <w:pPr>
              <w:pStyle w:val="EMPTY_CELL_STYLE"/>
            </w:pPr>
          </w:p>
        </w:tc>
        <w:tc>
          <w:tcPr>
     </w:tcPr>
          <w:p>
            <w:pPr>
              <w:pStyle w:val="EMPTY_CELL_STYLE"/>
            </w:pPr>
          </w:p>
        </w:tc>
      </w:tr>
      <w:tr>
        <w:trPr>
          <w:trHeight w:hRule="exact" w:val="5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pPr>
            <w:r>
              <w:rPr>
                <w:rFonts w:ascii="宋体" w:hAnsi="宋体" w:eastAsia="宋体" w:cs="宋体"/>
                <w:color w:val="000000"/>
                <w:sz w:val="21"/>
                <w:b w:val="true"/>
              </w:rPr>
              <w:t xml:space="preserve">4.报告期末资产持仓前十基本信息</w:t>
            </w:r>
          </w:p>
        </w:tc>
        <w:tc>
          <w:tcPr>
     </w:tcPr>
          <w:p>
            <w:pPr>
              <w:pStyle w:val="EMPTY_CELL_STYLE"/>
            </w:pPr>
          </w:p>
        </w:tc>
        <w:tc>
          <w:tcPr>
     </w:tcPr>
          <w:p>
            <w:pPr>
              <w:pStyle w:val="EMPTY_CELL_STYLE"/>
            </w:pPr>
          </w:p>
        </w:tc>
      </w:tr>
      <w:tr>
        <w:trPr>
          <w:trHeight w:hRule="exact" w:val="1840"/>
        </w:trPr>
        <w:tc>
          <w:tcPr>
     </w:tcPr>
          <w:p>
            <w:pPr>
              <w:pStyle w:val="EMPTY_CELL_STYLE"/>
            </w:pPr>
          </w:p>
        </w:tc>
        <w:tc>
          <w:tcPr>
            <w:gridSpan w:val="5"/>
            <w:shd w:val="clear" w:color="auto" w:fill="FFFFFF"/>
            <w:tcBorders>
              <w:bottom w:val="single" w:sz="4" w:space="0" w:color="000000"/>
            </w:tcBorders>
            <w:tcMar>
              <w:top w:w="0" w:type="dxa"/>
              <w:left w:w="0" w:type="dxa"/>
              <w:bottom w:w="0" w:type="dxa"/>
              <w:right w:w="0" w:type="dxa"/>
            </w:tcMar>
          </w:tcPr>
          <w:tbl>
            <w:tblPr>
              <w:tblLayout w:type="fixed"/>
            </w:tblPr>
            <w:tblGrid>
              <w:gridCol w:w="1000"/>
              <w:gridCol w:w="4000"/>
              <w:gridCol w:w="2600"/>
              <w:gridCol w:w="3100"/>
            </w:tblGrid>
            <w:tr>
              <w:trPr>
                <w:trHeight w:hRule="exact" w:val="640"/>
              </w:trPr>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1000"/>
                    <w:gridCol w:w="1000"/>
                  </w:tblGrid>
                  <w:tr>
                    <w:trPr>
                      <w:trHeight w:hRule="atLeast" w:val="64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序号</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4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资产名称</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4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资产规模</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3100"/>
                    <w:gridCol w:w="3100"/>
                  </w:tblGrid>
                  <w:tr>
                    <w:trPr>
                      <w:trHeight w:hRule="atLeast" w:val="64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占产品资产净值的比例（%）</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Z京-同业借款20220318001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4,499,343,546.59</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43.55</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Z京-同业借款20220324001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899,868,729.85</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8.71</w:t>
                        </w:r>
                      </w:p>
                    </w:tc>
                  </w:tr>
                </w:tbl>
                <w:p>
                  <w:pPr>
                    <w:pStyle w:val="EMPTY_CELL_STYLE"/>
                  </w:pPr>
                </w:p>
              </w:tc>
            </w:tr>
          </w:tbl>
          <w:p>
            <w:pPr>
              <w:pStyle w:val="EMPTY_CELL_STYLE"/>
            </w:pPr>
          </w:p>
        </w:tc>
        <w:tc>
          <w:tcPr>
     </w:tcPr>
          <w:p>
            <w:pPr>
              <w:pStyle w:val="EMPTY_CELL_STYLE"/>
            </w:pPr>
          </w:p>
        </w:tc>
        <w:tc>
          <w:tcPr>
     </w:tcPr>
          <w:p>
            <w:pPr>
              <w:pStyle w:val="EMPTY_CELL_STYLE"/>
            </w:pPr>
          </w:p>
        </w:tc>
      </w:tr>
      <w:tr>
        <w:trPr>
          <w:trHeight w:hRule="exact" w:val="46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5/</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r>
    </w:tbl>
    <w:tbl>
      <w:tblPr>
        <w:tblLayout w:type="fixed"/>
      </w:tblPr>
      <w:tblGrid>
        <w:gridCol w:w="1"/>
        <w:gridCol w:w="200"/>
        <w:gridCol w:w="3200"/>
        <w:gridCol w:w="2000"/>
        <w:gridCol w:w="2000"/>
        <w:gridCol w:w="3300"/>
        <w:gridCol w:w="1"/>
      </w:tblGrid>
      <w:tr>
        <w:trPr>
          <w:trHeight w:hRule="exact" w:val="0"/>
        </w:trPr>
        <w:tc>
          <w:tcPr>
     </w:tcPr>
          <w:p>
            <w:pPr>
              <w:pStyle w:val="EMPTY_CELL_STYLE"/>
              <w:pageBreakBefore/>
            </w:pPr>
            <w:bookmarkStart w:id="5" w:name="JR_PAGE_ANCHOR_0_6"/>
            <w:bookmarkEnd w:id="5"/>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5"/>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5"/>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r>
      <w:tr>
        <w:trPr>
          <w:trHeight w:hRule="exact" w:val="4800"/>
        </w:trPr>
        <w:tc>
          <w:tcPr>
     </w:tcPr>
          <w:p>
            <w:pPr>
              <w:pStyle w:val="EMPTY_CELL_STYLE"/>
            </w:pPr>
          </w:p>
        </w:tc>
        <w:tc>
          <w:tcPr>
            <w:gridSpan w:val="5"/>
            <w:shd w:val="clear" w:color="auto" w:fill="FFFFFF"/>
            <w:tcBorders>
              <w:bottom w:val="single" w:sz="4" w:space="0" w:color="000000"/>
            </w:tcBorders>
            <w:tcMar>
              <w:top w:w="0" w:type="dxa"/>
              <w:left w:w="0" w:type="dxa"/>
              <w:bottom w:w="0" w:type="dxa"/>
              <w:right w:w="0" w:type="dxa"/>
            </w:tcMar>
          </w:tcPr>
          <w:tbl>
            <w:tblPr>
              <w:tblLayout w:type="fixed"/>
            </w:tblPr>
            <w:tblGrid>
              <w:gridCol w:w="1000"/>
              <w:gridCol w:w="4000"/>
              <w:gridCol w:w="2600"/>
              <w:gridCol w:w="3100"/>
            </w:tblGrid>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3</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汉口银行大额存单20200414</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249,963,500.00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2.42</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Z沪-同业借款20220324001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199,970,839.41</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1.94</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5</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上海银行大额存单20210315001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199,969,800.00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1.94</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6</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中原银行大额存单20200320</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199,965,600.00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1.94</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7</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21工商银行永续债01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163,737,760.00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1.58</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8</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21中国银行二级03</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151,204,200.00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1.46</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上海银行大额存单20190929-01</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149,978,400.00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1.45</w:t>
                        </w:r>
                      </w:p>
                    </w:tc>
                  </w:tr>
                </w:tbl>
                <w:p>
                  <w:pPr>
                    <w:pStyle w:val="EMPTY_CELL_STYLE"/>
                  </w:pPr>
                </w:p>
              </w:tc>
            </w:tr>
            <w:tr>
              <w:trPr>
                <w:trHeight w:hRule="exact" w:val="580"/>
              </w:trPr>
              <w:tc>
                <w:tcPr>
                  <w:tcBorders>
                    <w:top w:val="single" w:sz="8" w:space="0" w:color="000000"/>
                    <w:left w:val="single" w:sz="8" w:space="0" w:color="000000"/>
                    <w:bottom w:val="single" w:sz="8" w:space="0" w:color="000000"/>
                    <w:right w:val="single" w:sz="8" w:space="0" w:color="000000"/>
                  </w:tcBorders>
                  <w:tcMar>
                    <w:top w:w="0" w:type="dxa"/>
                    <w:left w:w="0" w:type="dxa"/>
                    <w:bottom w:w="20" w:type="dxa"/>
                    <w:right w:w="0" w:type="dxa"/>
                  </w:tcMar>
                </w:tcPr>
                <w:tbl>
                  <w:tblPr>
                    <w:tblLayout w:type="fixed"/>
                  </w:tblPr>
                  <w:tblGrid>
                    <w:gridCol w:w="1000"/>
                    <w:gridCol w:w="1000"/>
                  </w:tblGrid>
                  <w:tr>
                    <w:trPr>
                      <w:trHeight w:hRule="atLeast" w:val="58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10</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4000"/>
                    <w:gridCol w:w="4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21交通银行二级</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600"/>
                    <w:gridCol w:w="26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131,376,700.00</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1.27</w:t>
                        </w:r>
                      </w:p>
                    </w:tc>
                  </w:tr>
                </w:tbl>
                <w:p>
                  <w:pPr>
                    <w:pStyle w:val="EMPTY_CELL_STYLE"/>
                  </w:pPr>
                </w:p>
              </w:tc>
            </w:tr>
          </w:tbl>
          <w:p>
            <w:pPr>
              <w:pStyle w:val="EMPTY_CELL_STYLE"/>
            </w:pPr>
          </w:p>
        </w:tc>
        <w:tc>
          <w:tcPr>
     </w:tcPr>
          <w:p>
            <w:pPr>
              <w:pStyle w:val="EMPTY_CELL_STYLE"/>
            </w:pPr>
          </w:p>
        </w:tc>
      </w:tr>
      <w:tr>
        <w:trPr>
          <w:trHeight w:hRule="exact" w:val="1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600"/>
        </w:trPr>
        <w:tc>
          <w:tcPr>
     </w:tcPr>
          <w:p>
            <w:pPr>
              <w:pStyle w:val="EMPTY_CELL_STYLE"/>
            </w:pPr>
          </w:p>
        </w:tc>
        <w:tc>
          <w:tcPr>
            <w:gridSpan w:val="5"/>
            <w:tcMar>
              <w:top w:w="0" w:type="dxa"/>
              <w:left w:w="0" w:type="dxa"/>
              <w:bottom w:w="0" w:type="dxa"/>
              <w:right w:w="0" w:type="dxa"/>
            </w:tcMar>
            <w:vAlign w:val="center"/>
          </w:tcPr>
          <w:p>
            <w:pPr>
              <w:ind/>
            </w:pPr>
            <w:r>
              <w:rPr>
                <w:rFonts w:ascii="宋体" w:hAnsi="宋体" w:eastAsia="宋体" w:cs="宋体"/>
                <w:color w:val="000000"/>
                <w:sz w:val="21"/>
                <w:b w:val="true"/>
              </w:rPr>
              <w:t xml:space="preserve">5.报告期间关联交易情况</w:t>
            </w:r>
          </w:p>
        </w:tc>
        <w:tc>
          <w:tcPr>
     </w:tcPr>
          <w:p>
            <w:pPr>
              <w:pStyle w:val="EMPTY_CELL_STYLE"/>
            </w:pPr>
          </w:p>
        </w:tc>
      </w:tr>
      <w:tr>
        <w:trPr>
          <w:trHeight w:hRule="atLeast" w:val="400"/>
        </w:trPr>
        <w:tc>
          <w:tcPr>
     </w:tcPr>
          <w:p>
            <w:pPr>
              <w:pStyle w:val="EMPTY_CELL_STYLE"/>
            </w:pPr>
          </w:p>
        </w:tc>
        <w:tc>
          <w:tcPr>
     </w:tcPr>
          <w:p>
            <w:pPr>
              <w:pStyle w:val="EMPTY_CELL_STYLE"/>
            </w:pPr>
          </w:p>
        </w:tc>
        <w:tc>
          <w:tcPr>
            <w:gridSpan w:val="4"/>
            <w:tcMar>
              <w:top w:w="0" w:type="dxa"/>
              <w:left w:w="0" w:type="dxa"/>
              <w:bottom w:w="0" w:type="dxa"/>
              <w:right w:w="0" w:type="dxa"/>
            </w:tcMar>
            <w:vAlign w:val="top"/>
          </w:tcPr>
          <w:p>
            <w:pPr>
              <w:ind/>
            </w:pPr>
            <w:r>
              <w:rPr>
                <w:rFonts w:ascii="宋体" w:hAnsi="宋体" w:eastAsia="宋体" w:cs="宋体"/>
                <w:color w:val="000000"/>
                <w:sz w:val="20"/>
              </w:rPr>
              <w:t xml:space="preserve">5.1 理财产品在报告期末投资关联方发行、承销的证券的情况</w:t>
            </w:r>
          </w:p>
        </w:tc>
        <w:tc>
          <w:tcPr>
     </w:tcPr>
          <w:p>
            <w:pPr>
              <w:pStyle w:val="EMPTY_CELL_STYLE"/>
            </w:pPr>
          </w:p>
        </w:tc>
      </w:tr>
      <w:tr>
        <w:trPr>
          <w:trHeight w:hRule="exact" w:val="8400"/>
        </w:trPr>
        <w:tc>
          <w:tcPr>
     </w:tcPr>
          <w:p>
            <w:pPr>
              <w:pStyle w:val="EMPTY_CELL_STYLE"/>
            </w:pPr>
          </w:p>
        </w:tc>
        <w:tc>
          <w:tcPr>
            <w:gridSpan w:val="5"/>
            <w:tcMar>
              <w:top w:w="0" w:type="dxa"/>
              <w:left w:w="0" w:type="dxa"/>
              <w:bottom w:w="0" w:type="dxa"/>
              <w:right w:w="0" w:type="dxa"/>
            </w:tcMar>
          </w:tcPr>
          <w:tbl>
            <w:tblPr>
              <w:tblLayout w:type="fixed"/>
            </w:tblPr>
            <w:tblGrid>
              <w:gridCol w:w="1800"/>
              <w:gridCol w:w="3000"/>
              <w:gridCol w:w="2800"/>
              <w:gridCol w:w="3100"/>
            </w:tblGrid>
            <w:tr>
              <w:trPr>
                <w:trHeight w:hRule="exact" w:val="600"/>
              </w:trPr>
              <w:tc>
                <w:tcPr>
                  <w:shd w:val="clear" w:color="auto" w:fill="BFBFB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产品代码</w:t>
                        </w:r>
                      </w:p>
                    </w:tc>
                    <w:tc>
                      <w:tcPr>
     </w:tcPr>
                      <w:p>
                        <w:pPr>
                          <w:pStyle w:val="EMPTY_CELL_STYLE"/>
                        </w:pP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资产名称</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资产面额（元）</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承销商/发行人</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19阜阳交投MTN002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19宿迁城投PPN002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20三明交建PPN001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20兴信02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兴业国信资产管理有限公司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20宣城国资PPN002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50,000,000.00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21常德经建MTN002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30,000,000.00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21国兴投资MTN001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21河钢集MTN007</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21洪山城投MTN001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21南京医药MTN001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21武汉港航MTN001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30,000,000.00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21兴城投资MTN001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21徐州新盛PPN002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bl>
          <w:p>
            <w:pPr>
              <w:pStyle w:val="EMPTY_CELL_STYLE"/>
            </w:pPr>
          </w:p>
        </w:tc>
        <w:tc>
          <w:tcPr>
     </w:tcPr>
          <w:p>
            <w:pPr>
              <w:pStyle w:val="EMPTY_CELL_STYLE"/>
            </w:pPr>
          </w:p>
        </w:tc>
      </w:tr>
      <w:tr>
        <w:trPr>
          <w:trHeight w:hRule="exact" w:val="5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6/</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r>
    </w:tbl>
    <w:tbl>
      <w:tblPr>
        <w:tblLayout w:type="fixed"/>
      </w:tblPr>
      <w:tblGrid>
        <w:gridCol w:w="1"/>
        <w:gridCol w:w="40"/>
        <w:gridCol w:w="160"/>
        <w:gridCol w:w="3200"/>
        <w:gridCol w:w="2000"/>
        <w:gridCol w:w="2000"/>
        <w:gridCol w:w="3300"/>
        <w:gridCol w:w="40"/>
        <w:gridCol w:w="1"/>
      </w:tblGrid>
      <w:tr>
        <w:trPr>
          <w:trHeight w:hRule="exact" w:val="0"/>
        </w:trPr>
        <w:tc>
          <w:tcPr>
     </w:tcPr>
          <w:p>
            <w:pPr>
              <w:pStyle w:val="EMPTY_CELL_STYLE"/>
              <w:pageBreakBefore/>
            </w:pPr>
            <w:bookmarkStart w:id="6" w:name="JR_PAGE_ANCHOR_0_7"/>
            <w:bookmarkEnd w:id="6"/>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6"/>
            <w:tcMar>
              <w:top w:w="0" w:type="dxa"/>
              <w:left w:w="0" w:type="dxa"/>
              <w:bottom w:w="0" w:type="dxa"/>
              <w:right w:w="0" w:type="dxa"/>
            </w:tcMar>
            <w:vAlign w:val="bottom"/>
          </w:tcPr>
          <w:p>
            <w:pPr>
              <w:ind/>
              <w:jc w:val="left"/>
              <w:spacing w:lineRule="auto" w:line="192" w:after="0" w:before="0"/>
            </w:pPr>
            <w:r>
              <w:rPr>
                <w:rFonts w:ascii="宋体" w:hAnsi="宋体" w:eastAsia="宋体" w:cs="宋体"/>
                <w:color w:val="808080"/>
                <w:sz w:val="18"/>
              </w:rPr>
              <w:t xml:space="preserve">兴业银行天天万利宝稳利1号净值型理财产品L款2022年第二季度报告</w:t>
            </w:r>
          </w:p>
        </w:tc>
        <w:tc>
          <w:tcPr>
     </w:tcPr>
          <w:p>
            <w:pPr>
              <w:pStyle w:val="EMPTY_CELL_STYLE"/>
            </w:pPr>
          </w:p>
        </w:tc>
        <w:tc>
          <w:tcPr>
     </w:tcPr>
          <w:p>
            <w:pPr>
              <w:pStyle w:val="EMPTY_CELL_STYLE"/>
            </w:pPr>
          </w:p>
        </w:tc>
      </w:tr>
      <w:tr>
        <w:trPr>
          <w:trHeight w:hRule="exact" w:val="2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exact" w:val="20"/>
        </w:trPr>
        <w:tc>
          <w:tcPr>
     </w:tcPr>
          <w:p>
            <w:pPr>
              <w:pStyle w:val="EMPTY_CELL_STYLE"/>
            </w:pPr>
          </w:p>
        </w:tc>
        <w:tc>
          <w:tcPr>
            <w:gridSpan w:val="6"/>
            <w:shd w:val="clear" w:color="auto" w:fill="FFFFFF"/>
            <w:tcBorders>
              <w:top w:val="single" w:sz="8" w:space="0" w:color="000000"/>
            </w:tcBorders>
            <w:tcMar>
              <w:top w:w="0" w:type="dxa"/>
              <w:left w:w="0" w:type="dxa"/>
              <w:bottom w:w="0" w:type="dxa"/>
              <w:right w:w="0" w:type="dxa"/>
            </w:tcMar>
          </w:tcPr>
          <w:p>
            <w:pPr>
              <w:pStyle w:val="EMPTY_CELL_STYLE"/>
            </w:pPr>
          </w:p>
        </w:tc>
        <w:tc>
          <w:tcPr>
     </w:tcPr>
          <w:p>
            <w:pPr>
              <w:pStyle w:val="EMPTY_CELL_STYLE"/>
            </w:pPr>
          </w:p>
        </w:tc>
        <w:tc>
          <w:tcPr>
     </w:tcPr>
          <w:p>
            <w:pPr>
              <w:pStyle w:val="EMPTY_CELL_STYLE"/>
            </w:pPr>
          </w:p>
        </w:tc>
      </w:tr>
      <w:tr>
        <w:trPr>
          <w:trHeight w:hRule="exact" w:val="3600"/>
        </w:trPr>
        <w:tc>
          <w:tcPr>
     </w:tcPr>
          <w:p>
            <w:pPr>
              <w:pStyle w:val="EMPTY_CELL_STYLE"/>
            </w:pPr>
          </w:p>
        </w:tc>
        <w:tc>
          <w:tcPr>
            <w:gridSpan w:val="6"/>
            <w:tcMar>
              <w:top w:w="0" w:type="dxa"/>
              <w:left w:w="0" w:type="dxa"/>
              <w:bottom w:w="0" w:type="dxa"/>
              <w:right w:w="0" w:type="dxa"/>
            </w:tcMar>
          </w:tcPr>
          <w:tbl>
            <w:tblPr>
              <w:tblLayout w:type="fixed"/>
            </w:tblPr>
            <w:tblGrid>
              <w:gridCol w:w="1800"/>
              <w:gridCol w:w="3000"/>
              <w:gridCol w:w="2800"/>
              <w:gridCol w:w="3100"/>
            </w:tblGrid>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21伊犁财通MTN002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22电建地产PPN002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22河钢集MTN001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22泉州文旅MTN002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22天心城投MTN001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30,000,000.00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7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22溧水经开MTN001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800"/>
                    <w:gridCol w:w="2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27,000,000.00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100"/>
                    <w:gridCol w:w="31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兴业银行股份有限公司</w:t>
                        </w:r>
                      </w:p>
                    </w:tc>
                  </w:tr>
                </w:tbl>
                <w:p>
                  <w:pPr>
                    <w:pStyle w:val="EMPTY_CELL_STYLE"/>
                  </w:pPr>
                </w:p>
              </w:tc>
            </w:tr>
          </w:tbl>
          <w:p>
            <w:pPr>
              <w:pStyle w:val="EMPTY_CELL_STYLE"/>
            </w:pPr>
          </w:p>
        </w:tc>
        <w:tc>
          <w:tcPr>
     </w:tcPr>
          <w:p>
            <w:pPr>
              <w:pStyle w:val="EMPTY_CELL_STYLE"/>
            </w:pP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gridSpan w:val="4"/>
            <w:tcMar>
              <w:top w:w="0" w:type="dxa"/>
              <w:left w:w="0" w:type="dxa"/>
              <w:bottom w:w="0" w:type="dxa"/>
              <w:right w:w="0" w:type="dxa"/>
            </w:tcMar>
            <w:vAlign w:val="top"/>
          </w:tcPr>
          <w:p>
            <w:pPr>
              <w:ind/>
            </w:pPr>
            <w:r>
              <w:rPr>
                <w:rFonts w:ascii="宋体" w:hAnsi="宋体" w:eastAsia="宋体" w:cs="宋体"/>
                <w:color w:val="000000"/>
                <w:sz w:val="20"/>
              </w:rPr>
              <w:t xml:space="preserve">5.2 理财产品在报告期内其他关联交易</w:t>
            </w:r>
          </w:p>
        </w:tc>
        <w:tc>
          <w:tcPr>
     </w:tcPr>
          <w:p>
            <w:pPr>
              <w:pStyle w:val="EMPTY_CELL_STYLE"/>
            </w:pPr>
          </w:p>
        </w:tc>
        <w:tc>
          <w:tcPr>
     </w:tcPr>
          <w:p>
            <w:pPr>
              <w:pStyle w:val="EMPTY_CELL_STYLE"/>
            </w:pPr>
          </w:p>
        </w:tc>
      </w:tr>
      <w:tr>
        <w:trPr>
          <w:trHeight w:hRule="exact" w:val="1800"/>
        </w:trPr>
        <w:tc>
          <w:tcPr>
     </w:tcPr>
          <w:p>
            <w:pPr>
              <w:pStyle w:val="EMPTY_CELL_STYLE"/>
            </w:pPr>
          </w:p>
        </w:tc>
        <w:tc>
          <w:tcPr>
            <w:gridSpan w:val="6"/>
            <w:tcMar>
              <w:top w:w="0" w:type="dxa"/>
              <w:left w:w="0" w:type="dxa"/>
              <w:bottom w:w="0" w:type="dxa"/>
              <w:right w:w="0" w:type="dxa"/>
            </w:tcMar>
          </w:tcPr>
          <w:tbl>
            <w:tblPr>
              <w:tblLayout w:type="fixed"/>
            </w:tblPr>
            <w:tblGrid>
              <w:gridCol w:w="1600"/>
              <w:gridCol w:w="2200"/>
              <w:gridCol w:w="2200"/>
              <w:gridCol w:w="1800"/>
              <w:gridCol w:w="2900"/>
            </w:tblGrid>
            <w:tr>
              <w:trPr>
                <w:trHeight w:hRule="exact" w:val="600"/>
              </w:trPr>
              <w:tc>
                <w:tcPr>
                  <w:shd w:val="clear" w:color="auto" w:fill="BFBFB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5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产品代码</w:t>
                        </w:r>
                      </w:p>
                    </w:tc>
                    <w:tc>
                      <w:tcPr>
     </w:tcPr>
                      <w:p>
                        <w:pPr>
                          <w:pStyle w:val="EMPTY_CELL_STYLE"/>
                        </w:pP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交易标的</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交易金额（万元）</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800"/>
                    <w:gridCol w:w="1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交易类型</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900"/>
                    <w:gridCol w:w="29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关联方名称</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5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Z沪-同业借款20220324001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800"/>
                    <w:gridCol w:w="1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授信</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900"/>
                    <w:gridCol w:w="29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兴业消费金融股份公司</w:t>
                        </w:r>
                      </w:p>
                    </w:tc>
                  </w:tr>
                </w:tbl>
                <w:p>
                  <w:pPr>
                    <w:pStyle w:val="EMPTY_CELL_STYLE"/>
                  </w:pPr>
                </w:p>
              </w:tc>
            </w:tr>
            <w:tr>
              <w:trPr>
                <w:trHeight w:hRule="exact" w:val="600"/>
              </w:trPr>
              <w:tc>
                <w:tcPr>
                  <w:shd w:val="clear" w:color="auto" w:fill="FFFFF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5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9K218030</w:t>
                        </w:r>
                      </w:p>
                    </w:tc>
                    <w:tc>
                      <w:tcPr>
     </w:tcPr>
                      <w:p>
                        <w:pPr>
                          <w:pStyle w:val="EMPTY_CELL_STYLE"/>
                        </w:pP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20兴信02</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4,000.00</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800"/>
                    <w:gridCol w:w="1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授信</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900"/>
                    <w:gridCol w:w="29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兴业国信资产管理有限公司</w:t>
                        </w:r>
                      </w:p>
                    </w:tc>
                  </w:tr>
                </w:tbl>
                <w:p>
                  <w:pPr>
                    <w:pStyle w:val="EMPTY_CELL_STYLE"/>
                  </w:pPr>
                </w:p>
              </w:tc>
            </w:tr>
          </w:tbl>
          <w:p>
            <w:pPr>
              <w:pStyle w:val="EMPTY_CELL_STYLE"/>
            </w:pPr>
          </w:p>
        </w:tc>
        <w:tc>
          <w:tcPr>
     </w:tcPr>
          <w:p>
            <w:pPr>
              <w:pStyle w:val="EMPTY_CELL_STYLE"/>
            </w:pPr>
          </w:p>
        </w:tc>
        <w:tc>
          <w:tcPr>
     </w:tcPr>
          <w:p>
            <w:pPr>
              <w:pStyle w:val="EMPTY_CELL_STYLE"/>
            </w:pPr>
          </w:p>
        </w:tc>
      </w:tr>
      <w:tr>
        <w:trPr>
          <w:trHeight w:hRule="exact" w:val="2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gridSpan w:val="4"/>
            <w:tcMar>
              <w:top w:w="0" w:type="dxa"/>
              <w:left w:w="0" w:type="dxa"/>
              <w:bottom w:w="0" w:type="dxa"/>
              <w:right w:w="0" w:type="dxa"/>
            </w:tcMar>
            <w:vAlign w:val="top"/>
          </w:tcPr>
          <w:p>
            <w:pPr>
              <w:ind/>
            </w:pPr>
            <w:r>
              <w:rPr>
                <w:rFonts w:ascii="宋体" w:hAnsi="宋体" w:eastAsia="宋体" w:cs="宋体"/>
                <w:color w:val="000000"/>
                <w:sz w:val="20"/>
              </w:rPr>
              <w:t xml:space="preserve">5.3 理财产品在报告期内中的重大关联交易</w:t>
            </w:r>
          </w:p>
        </w:tc>
        <w:tc>
          <w:tcPr>
     </w:tcPr>
          <w:p>
            <w:pPr>
              <w:pStyle w:val="EMPTY_CELL_STYLE"/>
            </w:pPr>
          </w:p>
        </w:tc>
        <w:tc>
          <w:tcPr>
     </w:tcPr>
          <w:p>
            <w:pPr>
              <w:pStyle w:val="EMPTY_CELL_STYLE"/>
            </w:pPr>
          </w:p>
        </w:tc>
      </w:tr>
      <w:tr>
        <w:trPr>
          <w:trHeight w:hRule="exact" w:val="600"/>
        </w:trPr>
        <w:tc>
          <w:tcPr>
     </w:tcPr>
          <w:p>
            <w:pPr>
              <w:pStyle w:val="EMPTY_CELL_STYLE"/>
            </w:pPr>
          </w:p>
        </w:tc>
        <w:tc>
          <w:tcPr>
            <w:gridSpan w:val="6"/>
            <w:tcMar>
              <w:top w:w="0" w:type="dxa"/>
              <w:left w:w="0" w:type="dxa"/>
              <w:bottom w:w="0" w:type="dxa"/>
              <w:right w:w="0" w:type="dxa"/>
            </w:tcMar>
          </w:tcPr>
          <w:tbl>
            <w:tblPr>
              <w:tblLayout w:type="fixed"/>
            </w:tblPr>
            <w:tblGrid>
              <w:gridCol w:w="1600"/>
              <w:gridCol w:w="2200"/>
              <w:gridCol w:w="2200"/>
              <w:gridCol w:w="1800"/>
              <w:gridCol w:w="2900"/>
            </w:tblGrid>
            <w:tr>
              <w:trPr>
                <w:trHeight w:hRule="exact" w:val="600"/>
              </w:trPr>
              <w:tc>
                <w:tcPr>
                  <w:shd w:val="clear" w:color="auto" w:fill="BFBFBF"/>
                  <w:tcBorders>
                    <w:top w:val="single" w:sz="4" w:space="0" w:color="000000"/>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5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产品代码</w:t>
                        </w:r>
                      </w:p>
                    </w:tc>
                    <w:tc>
                      <w:tcPr>
     </w:tcPr>
                      <w:p>
                        <w:pPr>
                          <w:pStyle w:val="EMPTY_CELL_STYLE"/>
                        </w:pP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资产名称</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资产面额（元）</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800"/>
                    <w:gridCol w:w="18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交易类型</w:t>
                        </w:r>
                      </w:p>
                    </w:tc>
                  </w:tr>
                </w:tbl>
                <w:p>
                  <w:pPr>
                    <w:pStyle w:val="EMPTY_CELL_STYLE"/>
                  </w:pPr>
                </w:p>
              </w:tc>
              <w:tc>
                <w:tcPr>
                  <w:shd w:val="clear" w:color="auto" w:fill="BFBFB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900"/>
                    <w:gridCol w:w="29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关联方名称</w:t>
                        </w:r>
                      </w:p>
                    </w:tc>
                  </w:tr>
                </w:tbl>
                <w:p>
                  <w:pPr>
                    <w:pStyle w:val="EMPTY_CELL_STYLE"/>
                  </w:pPr>
                </w:p>
              </w:tc>
            </w:tr>
          </w:tbl>
          <w:p>
            <w:pPr>
              <w:pStyle w:val="EMPTY_CELL_STYLE"/>
            </w:pPr>
          </w:p>
        </w:tc>
        <w:tc>
          <w:tcPr>
     </w:tcPr>
          <w:p>
            <w:pPr>
              <w:pStyle w:val="EMPTY_CELL_STYLE"/>
            </w:pPr>
          </w:p>
        </w:tc>
        <w:tc>
          <w:tcPr>
     </w:tcPr>
          <w:p>
            <w:pPr>
              <w:pStyle w:val="EMPTY_CELL_STYLE"/>
            </w:pPr>
          </w:p>
        </w:tc>
      </w:tr>
      <w:tr>
        <w:trPr>
          <w:trHeight w:hRule="exact" w:val="600"/>
        </w:trPr>
        <w:tc>
          <w:tcPr>
     </w:tcPr>
          <w:p>
            <w:pPr>
              <w:pStyle w:val="EMPTY_CELL_STYLE"/>
            </w:pPr>
          </w:p>
        </w:tc>
        <w:tc>
          <w:tcPr>
            <w:gridSpan w:val="6"/>
            <w:tcMar>
              <w:top w:w="0" w:type="dxa"/>
              <w:left w:w="0" w:type="dxa"/>
              <w:bottom w:w="0" w:type="dxa"/>
              <w:right w:w="0" w:type="dxa"/>
            </w:tcMar>
          </w:tcPr>
          <w:tbl>
            <w:tblPr>
              <w:tblLayout w:type="fixed"/>
            </w:tblPr>
            <w:tblGrid>
              <w:gridCol w:w="10700"/>
              <w:gridCol w:w="10700"/>
            </w:tblGrid>
            <w:tr>
              <w:trPr>
                <w:trHeight w:hRule="exact" w:val="600"/>
              </w:trPr>
              <w:tc>
                <w:tcPr>
                  <w:shd w:val="clear" w:color="auto" w:fill="FFFFFF"/>
                  <w:tcBorders>
                    <w:left w:val="single" w:sz="4" w:space="0" w:color="000000"/>
                    <w:bottom w:val="single" w:sz="4" w:space="0" w:color="000000"/>
                    <w:right w:val="single" w:sz="4" w:space="0" w:color="000000"/>
                  </w:tcBorders>
                  <w:tcMar>
                    <w:top w:w="0" w:type="dxa"/>
                    <w:left w:w="20" w:type="dxa"/>
                    <w:bottom w:w="0" w:type="dxa"/>
                    <w:right w:w="0" w:type="dxa"/>
                  </w:tcMar>
                </w:tcPr>
                <w:tbl>
                  <w:tblPr>
                    <w:tblLayout w:type="fixed"/>
                  </w:tblPr>
                  <w:tblGrid>
                    <w:gridCol w:w="10680"/>
                    <w:gridCol w:w="2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无</w:t>
                        </w:r>
                      </w:p>
                    </w:tc>
                    <w:tc>
                      <w:tcPr>
     </w:tcPr>
                      <w:p>
                        <w:pPr>
                          <w:pStyle w:val="EMPTY_CELL_STYLE"/>
                        </w:pPr>
                      </w:p>
                    </w:tc>
                  </w:tr>
                </w:tbl>
                <w:p>
                  <w:pPr>
                    <w:pStyle w:val="EMPTY_CELL_STYLE"/>
                  </w:pPr>
                </w:p>
              </w:tc>
            </w:tr>
          </w:tbl>
          <w:p>
            <w:pPr>
              <w:pStyle w:val="EMPTY_CELL_STYLE"/>
            </w:pPr>
          </w:p>
        </w:tc>
        <w:tc>
          <w:tcPr>
     </w:tcPr>
          <w:p>
            <w:pPr>
              <w:pStyle w:val="EMPTY_CELL_STYLE"/>
            </w:pPr>
          </w:p>
        </w:tc>
        <w:tc>
          <w:tcPr>
     </w:tcPr>
          <w:p>
            <w:pPr>
              <w:pStyle w:val="EMPTY_CELL_STYLE"/>
            </w:pPr>
          </w:p>
        </w:tc>
      </w:tr>
      <w:tr>
        <w:trPr>
          <w:trHeight w:hRule="exact" w:val="16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gridSpan w:val="6"/>
            <w:tcMar>
              <w:top w:w="0" w:type="dxa"/>
              <w:left w:w="0" w:type="dxa"/>
              <w:bottom w:w="0" w:type="dxa"/>
              <w:right w:w="0" w:type="dxa"/>
            </w:tcMar>
            <w:vAlign w:val="center"/>
          </w:tcPr>
          <w:p>
            <w:pPr>
              <w:ind/>
              <w:jc w:val="left"/>
            </w:pPr>
            <w:r>
              <w:rPr>
                <w:rFonts w:ascii="宋体" w:hAnsi="宋体" w:eastAsia="宋体" w:cs="宋体"/>
                <w:color w:val="000000"/>
                <w:sz w:val="21"/>
                <w:b w:val="true"/>
              </w:rPr>
              <w:t xml:space="preserve">6.投资账户信息</w:t>
            </w:r>
          </w:p>
        </w:tc>
        <w:tc>
          <w:tcPr>
     </w:tcPr>
          <w:p>
            <w:pPr>
              <w:pStyle w:val="EMPTY_CELL_STYLE"/>
            </w:pPr>
          </w:p>
        </w:tc>
      </w:tr>
      <w:tr>
        <w:trPr>
          <w:trHeight w:hRule="exact" w:val="1200"/>
        </w:trPr>
        <w:tc>
          <w:tcPr>
     </w:tcPr>
          <w:p>
            <w:pPr>
              <w:pStyle w:val="EMPTY_CELL_STYLE"/>
            </w:pPr>
          </w:p>
        </w:tc>
        <w:tc>
          <w:tcPr>
     </w:tcPr>
          <w:p>
            <w:pPr>
              <w:pStyle w:val="EMPTY_CELL_STYLE"/>
            </w:pPr>
          </w:p>
        </w:tc>
        <w:tc>
          <w:tcPr>
            <w:gridSpan w:val="6"/>
            <w:shd w:val="clear" w:color="auto" w:fill="FFFFFF"/>
            <w:tcMar>
              <w:top w:w="0" w:type="dxa"/>
              <w:left w:w="0" w:type="dxa"/>
              <w:bottom w:w="0" w:type="dxa"/>
              <w:right w:w="0" w:type="dxa"/>
            </w:tcMar>
          </w:tcPr>
          <w:tbl>
            <w:tblPr>
              <w:tblLayout w:type="fixed"/>
            </w:tblPr>
            <w:tblGrid>
              <w:gridCol w:w="1000"/>
              <w:gridCol w:w="2200"/>
              <w:gridCol w:w="3000"/>
              <w:gridCol w:w="4500"/>
            </w:tblGrid>
            <w:tr>
              <w:trPr>
                <w:trHeight w:hRule="exact" w:val="600"/>
              </w:trPr>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序号</w:t>
                        </w:r>
                      </w:p>
                    </w:tc>
                  </w:tr>
                </w:tbl>
                <w:p>
                  <w:pPr>
                    <w:pStyle w:val="EMPTY_CELL_STYLE"/>
                  </w:pPr>
                </w:p>
              </w:tc>
              <w:tc>
                <w:tcPr>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账户类型</w:t>
                        </w:r>
                      </w:p>
                    </w:tc>
                  </w:tr>
                </w:tbl>
                <w:p>
                  <w:pPr>
                    <w:pStyle w:val="EMPTY_CELL_STYLE"/>
                  </w:pPr>
                </w:p>
              </w:tc>
              <w:tc>
                <w:tcPr>
                  <w:shd w:val="clear" w:color="auto" w:fill="FFFFFF"/>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账户编号</w:t>
                        </w:r>
                      </w:p>
                    </w:tc>
                  </w:tr>
                </w:tbl>
                <w:p>
                  <w:pPr>
                    <w:pStyle w:val="EMPTY_CELL_STYLE"/>
                  </w:pPr>
                </w:p>
              </w:tc>
              <w:tc>
                <w:tcPr>
                  <w:shd w:val="clear" w:color="auto" w:fill="B3B4B5"/>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500"/>
                    <w:gridCol w:w="4500"/>
                  </w:tblGrid>
                  <w:tr>
                    <w:trPr>
                      <w:trHeight w:hRule="atLeast" w:val="600"/>
                    </w:trPr>
                    <w:tc>
                      <w:tcPr>
                        <w:shd w:val="clear" w:color="auto" w:fill="BFBFBF"/>
                        <w:tcMar>
                          <w:top w:w="0" w:type="dxa"/>
                          <w:left w:w="0" w:type="dxa"/>
                          <w:bottom w:w="0" w:type="dxa"/>
                          <w:right w:w="0" w:type="dxa"/>
                        </w:tcMar>
                        <w:vAlign w:val="center"/>
                      </w:tcPr>
                      <w:p>
                        <w:pPr>
                          <w:ind/>
                          <w:jc w:val="center"/>
                        </w:pPr>
                        <w:r>
                          <w:rPr>
                            <w:rFonts w:ascii="宋体" w:hAnsi="宋体" w:eastAsia="宋体" w:cs="宋体"/>
                            <w:color w:val="000000"/>
                            <w:sz w:val="21"/>
                            <w:b w:val="true"/>
                          </w:rPr>
                          <w:t xml:space="preserve">账户名称</w:t>
                        </w:r>
                      </w:p>
                    </w:tc>
                  </w:tr>
                </w:tbl>
                <w:p>
                  <w:pPr>
                    <w:pStyle w:val="EMPTY_CELL_STYLE"/>
                  </w:pPr>
                </w:p>
              </w:tc>
            </w:tr>
            <w:tr>
              <w:trPr>
                <w:trHeight w:hRule="exact" w:val="600"/>
              </w:trPr>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1000"/>
                    <w:gridCol w:w="1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1</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2200"/>
                    <w:gridCol w:w="22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托管账户</w:t>
                        </w:r>
                      </w:p>
                    </w:tc>
                  </w:tr>
                </w:tbl>
                <w:p>
                  <w:pPr>
                    <w:pStyle w:val="EMPTY_CELL_STYLE"/>
                  </w:pPr>
                </w:p>
              </w:tc>
              <w:tc>
                <w:tcPr>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3000"/>
                    <w:gridCol w:w="30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051010100100721461</w:t>
                        </w:r>
                      </w:p>
                    </w:tc>
                  </w:tr>
                </w:tbl>
                <w:p>
                  <w:pPr>
                    <w:pStyle w:val="EMPTY_CELL_STYLE"/>
                  </w:pPr>
                </w:p>
              </w:tc>
              <w:tc>
                <w:tcPr>
                  <w:shd w:val="clear" w:color="auto" w:fill="FFFFFF"/>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tbl>
                  <w:tblPr>
                    <w:tblLayout w:type="fixed"/>
                  </w:tblPr>
                  <w:tblGrid>
                    <w:gridCol w:w="4500"/>
                    <w:gridCol w:w="4500"/>
                  </w:tblGrid>
                  <w:tr>
                    <w:trPr>
                      <w:trHeight w:hRule="atLeast" w:val="600"/>
                    </w:trPr>
                    <w:tc>
                      <w:tcPr>
                        <w:tcMar>
                          <w:top w:w="0" w:type="dxa"/>
                          <w:left w:w="0" w:type="dxa"/>
                          <w:bottom w:w="0" w:type="dxa"/>
                          <w:right w:w="0" w:type="dxa"/>
                        </w:tcMar>
                        <w:vAlign w:val="center"/>
                      </w:tcPr>
                      <w:p>
                        <w:pPr>
                          <w:ind/>
                          <w:jc w:val="center"/>
                        </w:pPr>
                        <w:r>
                          <w:rPr>
                            <w:rFonts w:ascii="宋体" w:hAnsi="宋体" w:eastAsia="宋体" w:cs="宋体"/>
                            <w:color w:val="000000"/>
                            <w:sz w:val="21"/>
                          </w:rPr>
                          <w:t xml:space="preserve">兴业银行理财托管专户天天万利宝稳利1号L款</w:t>
                        </w:r>
                      </w:p>
                    </w:tc>
                  </w:tr>
                </w:tbl>
                <w:p>
                  <w:pPr>
                    <w:pStyle w:val="EMPTY_CELL_STYLE"/>
                  </w:pPr>
                </w:p>
              </w:tc>
            </w:tr>
          </w:tbl>
          <w:p>
            <w:pPr>
              <w:pStyle w:val="EMPTY_CELL_STYLE"/>
            </w:pPr>
          </w:p>
        </w:tc>
        <w:tc>
          <w:tcPr>
     </w:tcPr>
          <w:p>
            <w:pPr>
              <w:pStyle w:val="EMPTY_CELL_STYLE"/>
            </w:pPr>
          </w:p>
        </w:tc>
      </w:tr>
      <w:tr>
        <w:trPr>
          <w:trHeight w:hRule="exact" w:val="96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6"/>
            <w:tcMar>
              <w:top w:w="0" w:type="dxa"/>
              <w:left w:w="0" w:type="dxa"/>
              <w:bottom w:w="0" w:type="dxa"/>
              <w:right w:w="0" w:type="dxa"/>
            </w:tcMar>
            <w:vAlign w:val="center"/>
          </w:tcPr>
          <w:p>
            <w:pPr>
              <w:ind/>
              <w:jc w:val="right"/>
            </w:pPr>
            <w:r>
              <w:rPr>
                <w:rFonts w:ascii="宋体" w:hAnsi="宋体" w:eastAsia="宋体" w:cs="宋体"/>
                <w:color w:val="000000"/>
                <w:sz w:val="21"/>
              </w:rPr>
              <w:t xml:space="preserve">兴银理财有限责任公司</w:t>
            </w:r>
          </w:p>
        </w:tc>
        <w:tc>
          <w:tcPr>
     </w:tcPr>
          <w:p>
            <w:pPr>
              <w:pStyle w:val="EMPTY_CELL_STYLE"/>
            </w:pPr>
          </w:p>
        </w:tc>
        <w:tc>
          <w:tcPr>
     </w:tcPr>
          <w:p>
            <w:pPr>
              <w:pStyle w:val="EMPTY_CELL_STYLE"/>
            </w:pPr>
          </w:p>
        </w:tc>
      </w:tr>
      <w:tr>
        <w:trPr>
          <w:trHeight w:hRule="atLeast" w:val="400"/>
        </w:trPr>
        <w:tc>
          <w:tcPr>
     </w:tcPr>
          <w:p>
            <w:pPr>
              <w:pStyle w:val="EMPTY_CELL_STYLE"/>
            </w:pPr>
          </w:p>
        </w:tc>
        <w:tc>
          <w:tcPr>
            <w:gridSpan w:val="6"/>
            <w:tcMar>
              <w:top w:w="0" w:type="dxa"/>
              <w:left w:w="0" w:type="dxa"/>
              <w:bottom w:w="0" w:type="dxa"/>
              <w:right w:w="0" w:type="dxa"/>
            </w:tcMar>
            <w:vAlign w:val="top"/>
          </w:tcPr>
          <w:p>
            <w:pPr>
              <w:ind/>
              <w:jc w:val="right"/>
            </w:pPr>
            <w:r>
              <w:rPr>
                <w:rFonts w:ascii="宋体" w:hAnsi="宋体" w:eastAsia="宋体" w:cs="宋体"/>
                <w:color w:val="000000"/>
                <w:sz w:val="21"/>
              </w:rPr>
              <w:t xml:space="preserve">2022年7月21日</w:t>
            </w:r>
          </w:p>
        </w:tc>
        <w:tc>
          <w:tcPr>
     </w:tcPr>
          <w:p>
            <w:pPr>
              <w:pStyle w:val="EMPTY_CELL_STYLE"/>
            </w:pPr>
          </w:p>
        </w:tc>
        <w:tc>
          <w:tcPr>
     </w:tcPr>
          <w:p>
            <w:pPr>
              <w:pStyle w:val="EMPTY_CELL_STYLE"/>
            </w:pPr>
          </w:p>
        </w:tc>
      </w:tr>
      <w:tr>
        <w:trPr>
          <w:trHeight w:hRule="exact" w:val="348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c>
          <w:tcPr>
     </w:tcPr>
          <w:p>
            <w:pPr>
              <w:pStyle w:val="EMPTY_CELL_STYLE"/>
            </w:pPr>
          </w:p>
        </w:tc>
      </w:tr>
      <w:tr>
        <w:trPr>
          <w:trHeight w:hRule="atLeast" w:val="400"/>
        </w:trPr>
        <w:tc>
          <w:tcPr>
     </w:tcPr>
          <w:p>
            <w:pPr>
              <w:pStyle w:val="EMPTY_CELL_STYLE"/>
            </w:pPr>
          </w:p>
        </w:tc>
        <w:tc>
          <w:tcPr>
     </w:tcPr>
          <w:p>
            <w:pPr>
              <w:pStyle w:val="EMPTY_CELL_STYLE"/>
            </w:pPr>
          </w:p>
        </w:tc>
        <w:tc>
          <w:tcPr>
     </w:tcPr>
          <w:p>
            <w:pPr>
              <w:pStyle w:val="EMPTY_CELL_STYLE"/>
            </w:pPr>
          </w:p>
        </w:tc>
        <w:tc>
          <w:tcPr>
     </w:tcPr>
          <w:p>
            <w:pPr>
              <w:pStyle w:val="EMPTY_CELL_STYLE"/>
            </w:pPr>
          </w:p>
        </w:tc>
        <w:tc>
          <w:tcPr>
            <w:tcMar>
              <w:top w:w="0" w:type="dxa"/>
              <w:left w:w="0" w:type="dxa"/>
              <w:bottom w:w="0" w:type="dxa"/>
              <w:right w:w="0" w:type="dxa"/>
            </w:tcMar>
            <w:vAlign w:val="top"/>
          </w:tcPr>
          <w:p>
            <w:pPr>
              <w:ind/>
              <w:jc w:val="right"/>
            </w:pPr>
            <w:r>
              <w:rPr>
                <w:rFonts w:ascii="SansSerif" w:hAnsi="SansSerif" w:eastAsia="SansSerif" w:cs="SansSerif"/>
                <w:color w:val="000000"/>
                <w:sz w:val="18"/>
              </w:rPr>
              <w:t xml:space="preserve">7/</w:t>
            </w:r>
          </w:p>
        </w:tc>
        <w:tc>
          <w:tcPr>
            <w:tcMar>
              <w:top w:w="0" w:type="dxa"/>
              <w:left w:w="0" w:type="dxa"/>
              <w:bottom w:w="0" w:type="dxa"/>
              <w:right w:w="0" w:type="dxa"/>
            </w:tcMar>
            <w:vAlign w:val="top"/>
          </w:tcPr>
          <w:p>
            <w:pPr>
              <w:ind/>
              <w:jc w:val="left"/>
            </w:pPr>
            <w:r>
              <w:rPr>
                <w:rFonts w:ascii="SansSerif" w:hAnsi="SansSerif" w:eastAsia="SansSerif" w:cs="SansSerif"/>
                <w:color w:val="000000"/>
                <w:sz w:val="18"/>
              </w:rPr>
              <w:t xml:space="preserve">7</w:t>
            </w:r>
          </w:p>
        </w:tc>
        <w:tc>
          <w:tcPr>
     </w:tcPr>
          <w:p>
            <w:pPr>
              <w:pStyle w:val="EMPTY_CELL_STYLE"/>
            </w:pPr>
          </w:p>
        </w:tc>
        <w:tc>
          <w:tcPr>
     </w:tcPr>
          <w:p>
            <w:pPr>
              <w:pStyle w:val="EMPTY_CELL_STYLE"/>
            </w:pPr>
          </w:p>
        </w:tc>
        <w:tc>
          <w:tcPr>
     </w:tcPr>
          <w:p>
            <w:pPr>
              <w:pStyle w:val="EMPTY_CELL_STYLE"/>
            </w:pPr>
          </w:p>
        </w:tc>
      </w:tr>
    </w:tbl>
    <w:sectPr>
      <w:pgSz w:w="11900" w:h="16840" w:orient="portrait"/>
      <w:pgMar w:top="600" w:right="560" w:bottom="240" w:left="600" w:header="0" w:footer="0" w:gutter="0"/>
      <w:docGrid w:linePitch="360"/>
    </w:sectPr>
  </w:body>
</w:document>
</file>

<file path=word/settings.xml><?xml version="1.0" encoding="utf-8"?>
<w:settings xmlns:w="http://schemas.openxmlformats.org/wordprocessingml/2006/main">
  <w:defaultTabStop w:val="800"/>
</w:settings>
</file>

<file path=word/styles.xml><?xml version="1.0" encoding="utf-8"?>
<w:styles xmlns:r="http://schemas.openxmlformats.org/officeDocument/2006/relationships" xmlns:w="http://schemas.openxmlformats.org/wordprocessingml/2006/main">
  <w:docDefaults>
    <w:rPrDefault>
  </w:rPrDefault>
    <w:pPrDefault>
      <w:pPr>
        <w:spacing w:line="240"/>
      </w:pPr>
    </w:pPrDefault>
  </w:docDefaults>
  <w:style w:type="paragraph" w:styleId="EMPTY_CELL_STYLE">
    <w:name w:val="EMPTY_CELL_STYLE"/>
    <w:qFormat/>
    <w:pPr>
      <w:ind/>
    </w:pPr>
    <w:rPr>
      <w:rFonts w:ascii="SansSerif" w:hAnsi="SansSerif" w:eastAsia="SansSerif" w:cs="SansSerif"/>
      <w:color w:val="000000"/>
      <w:sz w:val="1"/>
    </w:rPr>
  </w:style>
  <w:style w:type="paragraph" w:styleId="Table_TH">
    <w:name w:val="Table_TH"/>
    <w:qFormat/>
    <w:pPr>
      <w:ind/>
    </w:pPr>
    <w:rPr>
      <w:rFonts w:ascii="SansSerif" w:hAnsi="SansSerif" w:eastAsia="SansSerif" w:cs="SansSerif"/>
      <w:color w:val="000000"/>
      <w:sz w:val="20"/>
    </w:rPr>
  </w:style>
  <w:style w:type="paragraph" w:styleId="Table_CH">
    <w:name w:val="Table_CH"/>
    <w:qFormat/>
    <w:pPr>
      <w:ind/>
    </w:pPr>
    <w:rPr>
      <w:rFonts w:ascii="SansSerif" w:hAnsi="SansSerif" w:eastAsia="SansSerif" w:cs="SansSerif"/>
      <w:color w:val="000000"/>
      <w:sz w:val="20"/>
    </w:rPr>
  </w:style>
  <w:style w:type="paragraph" w:styleId="Table_TD">
    <w:name w:val="Table_TD"/>
    <w:qFormat/>
    <w:pPr>
      <w:ind/>
    </w:pPr>
    <w:rPr>
      <w:rFonts w:ascii="SansSerif" w:hAnsi="SansSerif" w:eastAsia="SansSerif" w:cs="SansSerif"/>
      <w:color w:val="000000"/>
      <w:sz w:val="20"/>
    </w:rPr>
  </w:style>
  <w:style w:type="paragraph" w:styleId="Table_CD">
    <w:name w:val="Table_CD"/>
    <w:qFormat/>
    <w:pPr>
      <w:ind/>
    </w:pPr>
    <w:rPr>
      <w:rFonts w:ascii="SansSerif" w:hAnsi="SansSerif" w:eastAsia="SansSerif" w:cs="SansSerif"/>
      <w:color w:val="000000"/>
      <w:sz w:val="20"/>
    </w:rPr>
  </w:style>
  <w:style w:type="paragraph" w:styleId="Table 3_TH">
    <w:name w:val="Table 3_TH"/>
    <w:qFormat/>
    <w:pPr>
      <w:ind/>
    </w:pPr>
    <w:rPr>
      <w:rFonts w:ascii="SansSerif" w:hAnsi="SansSerif" w:eastAsia="SansSerif" w:cs="SansSerif"/>
      <w:color w:val="000000"/>
      <w:sz w:val="20"/>
    </w:rPr>
  </w:style>
  <w:style w:type="paragraph" w:styleId="Table 3_CH">
    <w:name w:val="Table 3_CH"/>
    <w:qFormat/>
    <w:pPr>
      <w:ind/>
    </w:pPr>
    <w:rPr>
      <w:rFonts w:ascii="SansSerif" w:hAnsi="SansSerif" w:eastAsia="SansSerif" w:cs="SansSerif"/>
      <w:color w:val="000000"/>
      <w:sz w:val="20"/>
    </w:rPr>
  </w:style>
  <w:style w:type="paragraph" w:styleId="Table 3_TD">
    <w:name w:val="Table 3_TD"/>
    <w:qFormat/>
    <w:pPr>
      <w:ind/>
    </w:pPr>
    <w:rPr>
      <w:rFonts w:ascii="SansSerif" w:hAnsi="SansSerif" w:eastAsia="SansSerif" w:cs="SansSerif"/>
      <w:color w:val="000000"/>
      <w:sz w:val="20"/>
    </w:rPr>
  </w:style>
  <w:style w:type="paragraph" w:styleId="Table 4_TH">
    <w:name w:val="Table 4_TH"/>
    <w:qFormat/>
    <w:pPr>
      <w:ind/>
    </w:pPr>
    <w:rPr>
      <w:rFonts w:ascii="SansSerif" w:hAnsi="SansSerif" w:eastAsia="SansSerif" w:cs="SansSerif"/>
      <w:color w:val="000000"/>
      <w:sz w:val="20"/>
    </w:rPr>
  </w:style>
  <w:style w:type="paragraph" w:styleId="Table 4_CH">
    <w:name w:val="Table 4_CH"/>
    <w:qFormat/>
    <w:pPr>
      <w:ind/>
    </w:pPr>
    <w:rPr>
      <w:rFonts w:ascii="SansSerif" w:hAnsi="SansSerif" w:eastAsia="SansSerif" w:cs="SansSerif"/>
      <w:color w:val="000000"/>
      <w:sz w:val="20"/>
    </w:rPr>
  </w:style>
  <w:style w:type="paragraph" w:styleId="Table 4_TD">
    <w:name w:val="Table 4_TD"/>
    <w:qFormat/>
    <w:pPr>
      <w:ind/>
    </w:pPr>
    <w:rPr>
      <w:rFonts w:ascii="SansSerif" w:hAnsi="SansSerif" w:eastAsia="SansSerif" w:cs="SansSerif"/>
      <w:color w:val="000000"/>
      <w:sz w:val="20"/>
    </w:rPr>
  </w:style>
  <w:style w:type="paragraph" w:styleId="Table 1_TH">
    <w:name w:val="Table 1_TH"/>
    <w:qFormat/>
    <w:pPr>
      <w:ind/>
    </w:pPr>
    <w:rPr>
      <w:rFonts w:ascii="SansSerif" w:hAnsi="SansSerif" w:eastAsia="SansSerif" w:cs="SansSerif"/>
      <w:color w:val="000000"/>
      <w:sz w:val="20"/>
    </w:rPr>
  </w:style>
  <w:style w:type="paragraph" w:styleId="Table 1_CH">
    <w:name w:val="Table 1_CH"/>
    <w:qFormat/>
    <w:pPr>
      <w:ind/>
    </w:pPr>
    <w:rPr>
      <w:rFonts w:ascii="SansSerif" w:hAnsi="SansSerif" w:eastAsia="SansSerif" w:cs="SansSerif"/>
      <w:color w:val="000000"/>
      <w:sz w:val="20"/>
    </w:rPr>
  </w:style>
  <w:style w:type="paragraph" w:styleId="Table 1_TD">
    <w:name w:val="Table 1_TD"/>
    <w:qFormat/>
    <w:pPr>
      <w:ind/>
    </w:pPr>
    <w:rPr>
      <w:rFonts w:ascii="SansSerif" w:hAnsi="SansSerif" w:eastAsia="SansSerif" w:cs="SansSerif"/>
      <w:color w:val="000000"/>
      <w:sz w:val="20"/>
    </w:rPr>
  </w:style>
  <w:style w:type="paragraph" w:styleId="Table 2_TH">
    <w:name w:val="Table 2_TH"/>
    <w:qFormat/>
    <w:pPr>
      <w:ind/>
    </w:pPr>
    <w:rPr>
      <w:rFonts w:ascii="SansSerif" w:hAnsi="SansSerif" w:eastAsia="SansSerif" w:cs="SansSerif"/>
      <w:color w:val="000000"/>
      <w:sz w:val="20"/>
    </w:rPr>
  </w:style>
  <w:style w:type="paragraph" w:styleId="Table 2_CH">
    <w:name w:val="Table 2_CH"/>
    <w:qFormat/>
    <w:pPr>
      <w:ind/>
    </w:pPr>
    <w:rPr>
      <w:rFonts w:ascii="SansSerif" w:hAnsi="SansSerif" w:eastAsia="SansSerif" w:cs="SansSerif"/>
      <w:color w:val="000000"/>
      <w:sz w:val="20"/>
    </w:rPr>
  </w:style>
  <w:style w:type="paragraph" w:styleId="Table 2_TD">
    <w:name w:val="Table 2_TD"/>
    <w:qFormat/>
    <w:pPr>
      <w:ind/>
    </w:pPr>
    <w:rPr>
      <w:rFonts w:ascii="SansSerif" w:hAnsi="SansSerif" w:eastAsia="SansSerif" w:cs="SansSerif"/>
      <w:color w:val="000000"/>
      <w:sz w:val="20"/>
    </w:rPr>
  </w:style>
  <w:style w:type="paragraph" w:styleId="Table 5_TH">
    <w:name w:val="Table 5_TH"/>
    <w:qFormat/>
    <w:pPr>
      <w:ind/>
    </w:pPr>
    <w:rPr>
      <w:rFonts w:ascii="SansSerif" w:hAnsi="SansSerif" w:eastAsia="SansSerif" w:cs="SansSerif"/>
      <w:color w:val="000000"/>
      <w:sz w:val="20"/>
    </w:rPr>
  </w:style>
  <w:style w:type="paragraph" w:styleId="Table 5_CH">
    <w:name w:val="Table 5_CH"/>
    <w:qFormat/>
    <w:pPr>
      <w:ind/>
    </w:pPr>
    <w:rPr>
      <w:rFonts w:ascii="SansSerif" w:hAnsi="SansSerif" w:eastAsia="SansSerif" w:cs="SansSerif"/>
      <w:color w:val="000000"/>
      <w:sz w:val="20"/>
    </w:rPr>
  </w:style>
  <w:style w:type="paragraph" w:styleId="Table 5_TD">
    <w:name w:val="Table 5_TD"/>
    <w:qFormat/>
    <w:pPr>
      <w:ind/>
    </w:pPr>
    <w:rPr>
      <w:rFonts w:ascii="SansSerif" w:hAnsi="SansSerif" w:eastAsia="SansSerif" w:cs="SansSerif"/>
      <w:color w:val="000000"/>
      <w:sz w:val="20"/>
    </w:rPr>
  </w:style>
  <w:style w:type="paragraph" w:styleId="Table 6_TH">
    <w:name w:val="Table 6_TH"/>
    <w:qFormat/>
    <w:pPr>
      <w:ind/>
    </w:pPr>
    <w:rPr>
      <w:rFonts w:ascii="SansSerif" w:hAnsi="SansSerif" w:eastAsia="SansSerif" w:cs="SansSerif"/>
      <w:color w:val="000000"/>
      <w:sz w:val="20"/>
    </w:rPr>
  </w:style>
  <w:style w:type="paragraph" w:styleId="Table 6_CH">
    <w:name w:val="Table 6_CH"/>
    <w:qFormat/>
    <w:pPr>
      <w:ind/>
    </w:pPr>
    <w:rPr>
      <w:rFonts w:ascii="SansSerif" w:hAnsi="SansSerif" w:eastAsia="SansSerif" w:cs="SansSerif"/>
      <w:color w:val="000000"/>
      <w:sz w:val="20"/>
    </w:rPr>
  </w:style>
  <w:style w:type="paragraph" w:styleId="Table 6_TD">
    <w:name w:val="Table 6_TD"/>
    <w:qFormat/>
    <w:pPr>
      <w:ind/>
    </w:pPr>
    <w:rPr>
      <w:rFonts w:ascii="SansSerif" w:hAnsi="SansSerif" w:eastAsia="SansSerif" w:cs="SansSerif"/>
      <w:color w:val="000000"/>
      <w:sz w:val="20"/>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s>

</file>

<file path=docProps/app.xml><?xml version="1.0" encoding="utf-8"?>
<Properties xmlns="http://schemas.openxmlformats.org/officeDocument/2006/extended-properties">
  <Application>JasperReports Library version 6.6.0</Applicat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coreProperties>
</file>