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南银理财珠联璧合鑫悦享周周盈公募人民币理财产品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南银理财珠联璧合鑫悦享周周盈公募人民币理财产品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Z7003220000001（投资者可依据该编码在中国理财网www.chinawealth.com.cn查询理财产品相关信息）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开放式净值型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2019年10月29日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3,432,137,772.03份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国投泰康信托有限公司,紫金信托有限责任公司,鑫元基金管理有限公司,泰康资产管理有限责任公司,长江养老保险股份有限公司,太平洋资产管理有限责任公司,江苏省国际信托有限责任公司,光大永明资产管理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Z40003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3,814,779,630.45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1.1144</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1.1853</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Z42003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10,000,199.76</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1.1149</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1.1149</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Z43003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52,159.16</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1.1110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1.1110</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7月雅江水电站项目开工，市场开始围绕“反内卷”开展交易，通缩逻辑动摇，权益及商品市场大涨；债市则在缺乏新的驱动力量的情况下，受股债跷跷板的影响行情走弱；公募基金受“费率新规”的影响负债端出现脉冲式赎回。央行连续超额续作MLF及买断式逆回购，重启14天逆回购，持续呵护货币市场，资金利率维持平稳。债市曲线走陡，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来自于财政提前发力和抢出口的影响，但是需求端依然较为疲软，地产依然处于探底状态，政策对于地产的态度依然是托而不举，最新公布的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产品始终围绕稳健回报的收益目标进行操作，通过持有信用资质较好、绝对收益相对较高的江浙等发达省市信用债作为底仓，获取稳定可靠的票息收益；同时增加同业存单、存款等高流动性资产仓位保证流动性安全。基于对后市的判断，产品将灵活调整杠杆与久期，实现产品净值在合理区间内保持相对稳定；同时加强市场与品种研判，在控制好风险的前提下博取超额收益。</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产品投资运作稳健，资产结构保持较高的流动性水平，平稳度过市场各关键时点。下阶段，产品将继续维持合理的流动性资产比例，做好负债端现金流的跟踪与研判，适度拉长杠杆融资期限，控制产品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截至报告期末，本产品Z40003份额净值为1.1144元，Z42003份额净值为1.1149元，Z43003份额净值为1.1110元。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98.06%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ZJQTT202311080001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国投泰康信托福佳1号集合资金信托计划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973,810,249.81</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25.46</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ZJQTT202502250024</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紫金信托合盛3号集合资金信托计划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546,301,930.92</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14.28</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DQCKX202506060001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北京银行定期存款20250606</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7.84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ZJQTT202406170021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长江养老金色短债存款固收型集合资产管理产品</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255,437,827.80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6.68</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DQCKX202504030005</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中国银行定期存款20250403B</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5.23</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XJCKX202504280001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华夏银行南京分行活期存款</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196,348,268.55</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5.13</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ZJQTT202302210002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泰康资产纯泰33号资产管理产品</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194,076,000.00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5.07</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ZJQTT202202160001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鑫元基金-鑫安利得57号集合资产管理计划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111,020,382.31</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2.90</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253263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23高新09</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2.61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DQCKX202412100001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民生银行定期存款20241210</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2.61</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0120080000000334</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南京银行鑫悦享周周盈</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产品支付关联方托管费204,922.64元，支付关联方代销费556,950.66元。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2025年09月30日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