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南银理财珠联璧合理财管理计划2号公募人民币理财产品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南银理财珠联璧合理财管理计划2号公募人民币理财产品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Z7003220000004（投资者可依据该编码在中国理财网www.chinawealth.com.cn查询理财产品相关信息）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开放式净值型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2015年05月21日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3,039,619,503.27份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国投泰康信托有限公司,太平资产管理有限公司,紫金信托有限责任公司,鑫元基金管理有限公司,陆家嘴国际信托有限公司,泰康资产管理有限责任公司,长江养老保险股份有限公司,太平洋资产管理有限责任公司,江苏省国际信托有限责任公司,光大永明资产管理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Z10002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2,321,702,499.08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1.1125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1.3786</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Z10030</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1,061,964,335.47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1.1146</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1.1412</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7月雅江水电站项目开工，市场开始围绕“反内卷”开展交易，通缩逻辑动摇，权益及商品市场大涨；债市则在缺乏新的驱动力量的情况下，受股债跷跷板的影响行情走弱；公募基金受“费率新规”的影响负债端出现脉冲式赎回。央行连续超额续作MLF及买断式逆回购，重启14天逆回购，持续呵护货币市场，资金利率维持平稳。债市曲线走陡，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产品始终围绕稳健回报的收益目标进行操作，通过持有信用资质较好、绝对收益相对较高的江浙等发达省市信用债作为底仓，获取稳定可靠的票息收益；同时增加同业存单、存款等高流动性资产仓位保证流动性安全。基于对后市的判断，产品将灵活调整杠杆与久期，实现产品净值在合理区间内保持相对稳定；同时加强市场与品种研判，在控制好风险的前提下博取超额收益。</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产品投资运作稳健，资产结构保持较高的流动性水平，平稳度过市场各关键时点。下阶段，产品将继续维持合理的流动性资产比例，做好负债端现金流的跟踪与研判，适度拉长杠杆融资期限，控制产品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截至报告期末，本产品Z10002份额净值为1.1125元，Z10030份额净值为1.1146元。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98.91%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ZJQTT202502250024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705,982,153.35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20.86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ZJQTT202311080001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491,306,038.80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14.52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DQCKX202506060001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北京银行定期存款20250606</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8.87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DQCKX202502170003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徽商银行定期存款20250217</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8.87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ZJQTT202302210002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泰康资产纯泰33号资产管理产品</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289,170,573.27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8.55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ZJQTT202304250023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太平资产稳赢36号资管产品</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213,985,672.20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6.32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DQCKX202504030005</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中国银行定期存款20250403B</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5.91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DQCKX202504280022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中原银行定期存款20250428B</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4.43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XJCKX202306070001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建设银行深圳分行活期存款</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131,956,619.45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3.90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ZJQTT202406170021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长江养老金色短债存款固收型集合资产管理产品</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103,413,453.52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3.06</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0120060000000288</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南京银行理财管理计划2号</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产品支付关联方托管费195,755.90元，支付关联方代销费2,157,273.26元。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