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南银理财珠联璧合鑫逸稳两年122期封闭式公募人民币理财产品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南银理财珠联璧合鑫逸稳两年122期封闭式公募人民币理财产品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Z7003225000165（投资者可依据该编码在中国理财网www.chinawealth.com.cn查询理财产品相关信息）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2025年06月18日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291,402,630.00份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中信信托有限责任公司,国投泰康信托有限公司,国联基金管理有限公司,陆家嘴国际信托有限公司,中国对外经济贸易信托有限公司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Y60122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199,266,874.84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1.0082</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1.0082</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Y61122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81,166,353.04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1.0085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1.0085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Y62122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13,415,348.80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1.0088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1.0088</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鑫逸稳两年期封闭式产品，今年三季度产品操作稳健偏防守。三季度债券市场走势震荡偏弱，利率债、信用债等波动幅度较二季度有所放大，虽然资金面整体仍维持宽松，隐形的资金下限未打破，反内卷引发走出通缩的交易预期、风险偏好的持续抬升也压制债券表现，各类品种收益率水平有不同程度上行。三季度产品运作过程中操作转向防守，阶段性降低了产品的杠杆及久期水平以更好的控制回撤。在上旬减持了部分性价比偏弱的个券降低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三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截至报告期末，本产品Y60122份额净值为1.0082元，Y61122份额净值为1.0085元，Y62122份额净值为1.0088元。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95.17%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112,792,338.65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38.38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ZJQTT202302210001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外贸信托-鑫华优享2号证券投资集合资金信托计划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66,767,765.47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22.72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ZJQTT202306290002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国联基金-鑫福2号集合资产管理计划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59,994,487.32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20.42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XTDKX202506270022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中信信托·惠澜2号集合资金信托计划（第1期）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35,471,040.00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12.07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ZJQTT202404010021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国投泰康信托福佳8号集合资金信托计划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18,548,981.32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6.31</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蚂蚁星河(重庆)信息技术有限公司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中信信托·惠澜2号集合资金信托计划（第1期）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623</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0101090000001551</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南银理财珠联璧合鑫逸稳两年122期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产品支付关联方托管费0.00元，支付关联方代销费4,859.92元。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