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南银理财珠联璧合鑫逸稳两年118期封闭式公募人民币理财产品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南银理财珠联璧合鑫逸稳两年118期封闭式公募人民币理财产品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Z7003225000130（投资者可依据该编码在中国理财网www.chinawealth.com.cn查询理财产品相关信息）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2025年05月21日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186,304,583.00份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陆家嘴国际信托有限公司,中国对外经济贸易信托有限公司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Y60118</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103,368,854.35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1.0106</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1.0106</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Y61118</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79,396,950.02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Y62118</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5,561,697.67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1.0114</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鑫逸稳两年期封闭式产品，今年三季度产品操作稳健偏防守。三季度债券市场走势震荡偏弱，利率债、信用债等波动幅度较二季度有所放大，虽然资金面整体仍维持宽松，隐形的资金下限未打破，反内卷引发走出通缩的交易预期、风险偏好的持续抬升也压制债券表现，各类品种收益率水平有不同程度上行。三季度产品运作过程中操作转向防守，阶段性降低了产品的杠杆及久期水平以更好的控制回撤。在上旬减持了部分性价比偏弱的个券降低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三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截至报告期末，本产品Y60118份额净值为1.0106元，Y61118份额净值为1.0110元，Y62118份额净值为1.0114元。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96.06%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陆家嘴信托-陆享20号集合资金信托计划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76,023,815.32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40.37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XTDKX202506230021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外贸信托-前行15号集合资金信托计划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70,034,707.40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37.19</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ZJQTT202302210001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外贸信托-鑫华优享2号证券投资集合资金信托计划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41,552,943.72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22.06</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度小满科技(西安)有限公司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外贸信托-前行15号集合资金信托计划</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601</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不规则付息</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0101010000001507</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南银理财珠联璧合鑫逸稳两年118期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产品支付关联方托管费0.00元，支付关联方代销费24,650.64元。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