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南银理财珠联璧合鑫逸稳一年203期封闭式公募人民币理财产品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南银理财珠联璧合鑫逸稳一年203期封闭式公募人民币理财产品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Z7003225000027（投资者可依据该编码在中国理财网www.chinawealth.com.cn查询理财产品相关信息）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2025年02月12日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2,301,172,325.00份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中信信托有限责任公司,交银国际信托有限公司,国投泰康信托有限公司,广东粤财信托有限公司,百瑞信托有限责任公司,紫金信托有限责任公司,江苏省国际信托有限责任公司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Y30203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959,484,323.07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1.0168</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Y31203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583,888,487.91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Y32203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285,313,530.14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Y34203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93,701,268.65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Y35203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206,633,093.60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Y36203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33,839,503.85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Y38203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178,334,596.19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1.0178</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  操作方面，坚持稳健运作的投资理念，对于利差保护较足的信用资产积极配置，同时关注交易活跃品种的波段机会，根据对后市的研判灵活摆布资产久期与杠杆水平，获取稳健的投资回报。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截至报告期末，本产品Y30203份额净值为1.0168元，Y31203份额净值为1.0175元，Y32203份额净值为1.0181元，Y34203份额净值为1.0181元，Y35203份额净值为1.0175元，Y36203份额净值为1.0181元，Y38203份额净值为1.0178元。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94.64%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ZJQTT202312130001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紫金信托合盛1号集合资金信托计划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524,715,452.65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22.41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XTDKX202503030024</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中信信托·惠泽12号债权投资集合资金信托计划第1期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501,122,640.00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21.40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ZJQTT202301090001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408,095,305.97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17.43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ZJQTT202311240001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398,776,620.33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17.03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XTDKX202502270022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百瑞恒益1679号集合资金信托计划（南恒投资）第2期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307,493,955.00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13.13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XTDKX202502280001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粤财信托·瑞兴206号集合资金信托计划第2期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130,235,758.90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5.56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XTDKX202503070021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交银国信·蓝色睿投5号集合资金信托计划第1期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70,001,454.27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2.99</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北京天恒置业集团有限公司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百瑞恒益1679号集合资金信托计划（南恒投资）第2期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154</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按年付息，到期还本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云瀚信息科技有限公司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中信信托·惠泽12号债权投资集合资金信托计划第1期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154</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不规则付息</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深圳智领星辰科技有限公司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交银国信·蓝色睿投5号集合资金信托计划第1期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162</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不规则付息</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泰州东部新城控股集团有限公司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粤财信托·瑞兴206号集合资金信托计划第2期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154</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0101070000001359</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南银理财珠联璧合鑫逸稳一年203期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产品支付关联方托管费0.00元，支付关联方代销费413,488.87元。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