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南银理财珠联璧合鑫逸稳一年223期封闭式公募人民币理财产品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南银理财珠联璧合鑫逸稳一年223期封闭式公募人民币理财产品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Z7003225000136（投资者可依据该编码在中国理财网www.chinawealth.com.cn查询理财产品相关信息）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2025年05月28日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1,700,689,483.00份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国投泰康信托有限公司,紫金信托有限责任公司,江苏省国际信托有限责任公司,中国对外经济贸易信托有限公司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Y30223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1,037,722,840.80</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1.0070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1.0070</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Y31223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291,245,893.35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1.0073</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1.0073</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Y32223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268,058,357.46</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1.0076</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1.0076</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Y35223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55,453,777.06</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1.0071</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1.0071</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Y36223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27,226,563.22</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1.0073</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1.0073</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YB30223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33,228,865.38</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1.0078</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1.0078</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市场围绕“反内卷”开展交易，通缩逻辑动摇，权益及商品市场大涨；债市则在缺乏新的驱动力量的情况下，受股债跷跷板的影响行情走弱；公募基金受“费率新规”的影响负债端出现脉冲式赎回。受此影响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的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  操作方面，坚持稳健运作的投资理念，对于利差保护较足的信用资产积极配置，同时关注交易活跃品种的波段机会，根据对后市的研判灵活摆布资产久期与杠杆水平，获取稳健的投资回报。</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截至报告期末，本产品Y30223份额净值为1.0070元，Y31223份额净值为1.0073元，Y32223份额净值为1.0076元，Y35223份额净值为1.0071元，Y36223份额净值为1.0073元，YB30223份额净值为1.0078元。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95.21%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XTDKX202506090002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外贸信托臻璟系列集合资金信托计划39期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584,685,866.40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34.13</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ZJQTT202312130001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紫金信托合盛1号集合资金信托计划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441,639,643.55</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25.78</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XTDKX202505270004</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外贸信托-云虹21号集合资金信托计划第1期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260,768,073.80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15.22</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ZJQTT202301090001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江苏信托鑫盈3号集合资金信托计划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221,740,361.11</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12.95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ZJQTT202311240001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国投泰康信托福佳3号集合资金信托计划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202,276,346.63</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11.81</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云瀚信息科技有限公司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外贸信托-云虹21号集合资金信托计划第1期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241</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不规则付息</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深圳智领星辰科技有限公司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外贸信托臻璟系列集合资金信托计划39期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253</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0101040000001515</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南银理财珠联璧合鑫逸稳一年223期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产品支付关联方托管费0.00元，支付关联方代销费91,597.50元。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