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南银理财珠联璧合鑫逸稳两年119期封闭式公募人民币理财产品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南银理财珠联璧合鑫逸稳两年119期封闭式公募人民币理财产品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Z7003225000135（投资者可依据该编码在中国理财网www.chinawealth.com.cn查询理财产品相关信息）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2025年05月28日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173,438,506.00份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中信信托有限责任公司,国投泰康信托有限公司,陆家嘴国际信托有限公司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Y60119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105,619,168.44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1.0104</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Y61119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67,220,699.29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1.0107</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Y62119</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2,428,381.25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1.0110</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鑫逸稳两年期封闭式产品，今年三季度产品操作稳健偏防守。三季度债券市场走势震荡偏弱，利率债、信用债等波动幅度较二季度有所放大，虽然资金面整体仍维持宽松，隐形的资金下限未打破，反内卷引发走出通缩的交易预期、风险偏好的持续抬升也压制债券表现，各类品种收益率水平有不同程度上行。三季度产品运作过程中操作转向防守，阶段性降低了产品的杠杆及久期水平以更好的控制回撤。在上旬减持了部分性价比偏弱的个券降低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三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截至报告期末，本产品Y60119份额净值为1.0104元，Y61119份额净值为1.0107元，Y62119份额净值为1.0110元。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95.68%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XTDKX202506270022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中信信托·惠澜2号集合资金信托计划（第1期）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80,616,000.00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46.00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56,247,972.76</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32.09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ZJQTT202404010021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国投泰康信托福佳8号集合资金信托计划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38,282,692.75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21.84</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蚂蚁星河(重庆)信息技术有限公司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中信信托·惠澜2号集合资金信托计划（第1期）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623</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0101060000001519</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南银理财珠联璧合鑫逸稳两年119期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产品支付关联方托管费0.00元，支付关联方代销费12,868.86元。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