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南银理财珠联璧合鑫逸稳两年121期封闭式公募人民币理财产品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南银理财珠联璧合鑫逸稳两年121期封闭式公募人民币理财产品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Z7003225000150（投资者可依据该编码在中国理财网www.chinawealth.com.cn查询理财产品相关信息）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2025年06月11日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341,906,617.00份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中信信托有限责任公司,国投泰康信托有限公司,国联基金管理有限公司,陆家嘴国际信托有限公司,中国对外经济贸易信托有限公司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Y60121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230,923,497.72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Y61121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102,130,094.15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1.0095</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1.0095</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Y62121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12,035,763.12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1.0098</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1.0098</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鑫逸稳两年期封闭式产品，今年三季度产品操作稳健偏防守。三季度债券市场走势震荡偏弱，利率债、信用债等波动幅度较二季度有所放大，虽然资金面整体仍维持宽松，隐形的资金下限未打破，反内卷引发走出通缩的交易预期、风险偏好的持续抬升也压制债券表现，各类品种收益率水平有不同程度上行。三季度产品运作过程中操作转向防守，阶段性降低了产品的杠杆及久期水平以更好的控制回撤。在上旬减持了部分性价比偏弱的个券降低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三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截至报告期末，本产品Y60121份额净值为1.0091元，Y61121份额净值为1.0095元，Y62121份额净值为1.0098元。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96.93%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XTDKX202506270022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161,232,000.00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46.72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67,645,571.21</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19.60</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ZJQTT202404010021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国投泰康信托福佳8号集合资金信托计划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53,749,909.53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15.58</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ZJQTT202302210001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外贸信托-鑫华优享2号证券投资集合资金信托计划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32,174,305.93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9.32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ZJQTT202306290002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国联基金-鑫福2号集合资产管理计划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29,997,243.66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8.69</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中信信托·惠澜2号集合资金信托计划（第1期）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623</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0101060000001538</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南银理财珠联璧合鑫逸稳两年121期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产品支付关联方托管费0.00元，支付关联方代销费11,391.36元。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