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南银理财珠联璧合鑫逸稳一年195期封闭式公募人民币理财产品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南银理财珠联璧合鑫逸稳一年195期封闭式公募人民币理财产品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Z7003224000282（投资者可依据该编码在中国理财网www.chinawealth.com.cn查询理财产品相关信息）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2024年12月11日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1,061,645,584.00份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中信信托有限责任公司,五矿国际信托有限公司,广东粤财信托有限公司,百瑞信托有限责任公司,紫金信托有限责任公司,鑫元基金管理有限公司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Y30195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622,220,088.62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Y31195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260,275,261.45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Y32195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160,471,650.17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Y33195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42,060,273.88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截至报告期末，本产品Y30195份额净值为1.0214元，Y31195份额净值为1.0223元，Y32195份额净值为1.0231元，Y33195份额净值为1.0239元。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ZJQTT202401040001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五矿信托-苏鑫1号集合资金信托计划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324,283,302.46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XTDKX202412230001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粤财信托·瑞兴173号集合资金信托计划第1期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234,142,674.48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178,949,041.63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16.49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162,346,041.06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XTDKX202412260004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154,913,603.00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14.28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XTDKX202412250021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百瑞恒益1646号集合资金信托计划（蓉享7号）第1期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31,023,694.85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扬州新材料国资控股集团有限公司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粤财信托·瑞兴173号集合资金信托计划第1期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宿迁市城镇建设投资集团有限公司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百瑞恒益1646号集合资金信托计划（蓉享7号）第1期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0101020000001309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南京银行南京分行南银理财珠联璧合鑫逸稳一年195期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产品投资关联方作为管理人的资产管理产品交易金额113,000,000.00元。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产品支付关联方托管费0.00元，支付关联方代销费232,164.26元。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