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南银理财珠联璧合鑫逸稳一年197期（绿色金融主题）封闭式公募人民币理财产品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南银理财珠联璧合鑫逸稳一年197期（绿色金融主题）封闭式公募人民币理财产品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Z7003224000286（投资者可依据该编码在中国理财网www.chinawealth.com.cn查询理财产品相关信息）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2024年12月25日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674,494,487.00份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中信信托有限责任公司,五矿国际信托有限公司,广东粤财信托有限公司,鑫元基金管理有限公司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Y30197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402,522,302.03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Y31197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189,869,682.04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Y32197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96,322,063.65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截至报告期末，本产品Y30197份额净值为1.0206元，Y31197份额净值为1.0214元，Y32197份额净值为1.0221元。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ZJQTT202401040001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五矿信托-苏鑫1号集合资金信托计划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250,900,063.57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XTDKX202501220003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粤财信托瑞兴186号集合资金信托计划第1期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160,197,540.80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23.26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113,531,250.00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16.48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XTDKX202501230022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102,035,220.00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14.82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XTDKX202412260004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中信信托·惠泽20号债权投资集合资金信托计划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59,966,556.00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8.71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中信信托·惠泽20号债权投资集合资金信托计划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扬州江淮建设发展有限公司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粤财信托瑞兴186号集合资金信托计划第1期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0101010000001319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南京银行南京分行南银理财珠联璧合鑫逸稳一年197期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产品投资关联方作为管理人的资产管理产品交易金额16,000,000.00元。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产品支付关联方托管费0.00元，支付关联方代销费136,375.44元。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