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南银理财珠联璧合鑫逸稳两年115期封闭式公募人民币理财产品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南银理财珠联璧合鑫逸稳两年115期封闭式公募人民币理财产品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Z7003225000107（投资者可依据该编码在中国理财网www.chinawealth.com.cn查询理财产品相关信息）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2025年04月30日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221,918,396.00份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国投泰康信托有限公司,国联基金管理有限公司,陆家嘴国际信托有限公司,中国对外经济贸易信托有限公司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Y60115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115,518,125.67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1.0128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1.0128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Y61115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86,764,004.99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1.0132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1.0132</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Y62115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22,545,779.95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1.0137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1.0137</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鑫逸稳两年期封闭式产品，今年三季度产品操作稳健偏防守。三季度债券市场走势震荡偏弱，利率债、信用债等波动幅度较二季度有所放大，虽然资金面整体仍维持宽松，隐形的资金下限未打破，反内卷引发走出通缩的交易预期、风险偏好的持续抬升也压制债券表现，各类品种收益率水平有不同程度上行。三季度产品运作过程中操作转向防守，阶段性降低了产品的杠杆及久期水平以更好的控制回撤。在上旬减持了部分性价比偏弱的个券降低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三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截至报告期末，本产品Y60115份额净值为1.0128元，Y61115份额净值为1.0132元，Y62115份额净值为1.0137元。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外贸信托-鑫华优享2号证券投资集合资金信托计划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81,562,322.41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36.28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62,216,261.74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27.67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ZJQTT202404010021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国投泰康信托福佳8号集合资金信托计划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41,430,654.89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18.43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ZJQTT202306290002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国联基金-鑫福2号集合资产管理计划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39,886,384.46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17.74</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0101050000001478</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南银理财珠联璧合鑫逸稳两年115期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产品支付关联方托管费0.00元，支付关联方代销费38,238.97元。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