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南银理财鼎瑞悦稳（最低持有7天）公募人民币理财产品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南银理财鼎瑞悦稳（最低持有7天）公募人民币理财产品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Z7003223000162（投资者可依据该编码在中国理财网www.chinawealth.com.cn查询理财产品相关信息）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2023年08月22日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14,609,840,463.83份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华泰资产管理有限公司,广发基金管理有限公司,紫金信托有限责任公司,陆家嘴国际信托有限公司,泰康资产管理有限责任公司,太平洋资产管理有限责任公司,江苏省国际信托有限责任公司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7,272,341,920.48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1.055777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1.055777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A32012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8,147,432.70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1.057564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1.057564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A32013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2,480,902,810.40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1.053892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1.053892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A32027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22,533,603.59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1.051077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1.051077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A32031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4,280,077,674.63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1.058329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1.058329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A32077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1,366,438,959.24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1.055705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1.055705</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7月雅江水电站项目开工，市场开始围绕“反内卷”开展交易，通缩逻辑动摇，权益及商品市场大涨；债市则在缺乏新的驱动力量的情况下，受股债跷跷板的影响行情走弱；公募基金受“费率新规”的影响负债端出现脉冲式赎回。央行连续超额续作MLF及买断式逆回购，重启14天逆回购，持续呵护货币市场，资金利率维持平稳。债市曲线走陡，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来自于财政提前发力和抢出口的影响，但是需求端依然较为疲软，地产继续探底，政策对于地产托而不举，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控制回撤。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  本产品持仓中维持合理比例高流动性资产，杠杆处于合理水平，流动性状况较好。</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截至报告期末，本产品A32011份额净值为1.055777元，A32012份额净值为1.057564元，A32013份额净值为1.053892元，A32027份额净值为1.051077元，A32031份额净值为1.058329元，A32077份额净值为1.055705元。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97.97%</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2.03%</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ZJQTT202410090002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陆家嘴信托-陆享19号集合资金信托计划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3,986,996,486.89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25.84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ZJQTT202508040001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太平洋安盈十五号流动性资产管理产品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720,606,691.59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XJCKX202505140001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民生银行南京分行活期存款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501,536,111.67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兴业银行定期存款20250702</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DQCKX202506250022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农业银行定期存款20250625B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DQCKX202507040003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民生银行定期存款20250704</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DQCKX202507030004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农业银行定期存款20250703D</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DQCKX202506230002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农业银行定期存款20250623A</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DQCKX202506200003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农业银行定期存款20250620B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农业银行定期存款20250707A</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2.59</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0101090000000655</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南京银行南京分行南银理财鼎瑞悦稳最低持有7天</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产品投资于关联方承销的证券交易金额72,294,789.04元。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产品与关联方作为交易对手开展的投融资业务交易金额140,000,000.00元。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产品投资关联方作为管理人的资产管理产品交易金额4,350,000,000.00元。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产品支付关联方托管费835,910.99元，支付关联方代销费3,720,695.41元。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