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南银理财珠联璧合鑫逸稳一年199期封闭式公募人民币理财产品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南银理财珠联璧合鑫逸稳一年199期封闭式公募人民币理财产品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Z7003225000002（投资者可依据该编码在中国理财网www.chinawealth.com.cn查询理财产品相关信息）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2025年01月09日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316,704,960.00份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中信信托有限责任公司,五矿国际信托有限公司,广东粤财信托有限公司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Y30199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195,509,645.33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Y31199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75,122,814.63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Y32199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34,112,026.23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Y34199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18,543,630.45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1.0218</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截至报告期末，本产品Y30199份额净值为1.0203元，Y31199份额净值为1.0211元，Y32199份额净值为1.0218元，Y34199份额净值为1.0218元。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ZJQTT202401040001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五矿信托-苏鑫1号集合资金信托计划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162,045,133.79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50.12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79,611,710.88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24.63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XTDKX202501220003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粤财信托瑞兴186号集合资金信托计划第1期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78,096,301.14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24.16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扬州江淮建设发展有限公司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粤财信托瑞兴186号集合资金信托计划第1期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0101080000001349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南银理财珠联璧合鑫逸稳一年199期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产品支付关联方托管费0.00元，支付关联方代销费91,907.44元。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