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南银理财鼎瑞悦稳（最低持有7天）公募人民币理财产品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XSpec="center" w:tblpY="1"/>
        <w:tblOverlap w:val="never"/>
        <w:tblW w:w="8897"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2719"/>
        <w:gridCol w:w="6178"/>
      </w:tblGrid>
      <w:tr w:rsidR="00B31DA4" w:rsidTr="000C66D0">
        <w:trPr>
          <w:trHeight w:val="714"/>
          <w:jc w:val="center"/>
        </w:trPr>
        <w:tc>
          <w:tcPr>
            <w:tcW w:w="2719"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南银理财鼎瑞悦稳（最低持有7天）公募人民币理财产品</w:t>
            </w:r>
          </w:p>
        </w:tc>
      </w:tr>
      <w:tr w:rsidR="00B31DA4" w:rsidTr="000C66D0">
        <w:trPr>
          <w:trHeight w:val="1300"/>
          <w:jc w:val="center"/>
        </w:trPr>
        <w:tc>
          <w:tcPr>
            <w:tcW w:w="2719"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Z7003223000162（投资者可依据该编码在中国理财网www.chinawealth.com.cn查询理财产品相关信息）</w:t>
            </w:r>
          </w:p>
        </w:tc>
      </w:tr>
      <w:tr w:rsidR="00B31DA4" w:rsidTr="000C66D0">
        <w:trPr>
          <w:trHeight w:val="714"/>
          <w:jc w:val="center"/>
        </w:trPr>
        <w:tc>
          <w:tcPr>
            <w:tcW w:w="2719"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开放式净值型</w:t>
            </w:r>
          </w:p>
        </w:tc>
      </w:tr>
      <w:tr w:rsidR="00B31DA4" w:rsidTr="000C66D0">
        <w:trPr>
          <w:trHeight w:val="714"/>
          <w:jc w:val="center"/>
        </w:trPr>
        <w:tc>
          <w:tcPr>
            <w:tcW w:w="2719"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2023年08月22日</w:t>
            </w:r>
          </w:p>
        </w:tc>
      </w:tr>
      <w:tr w:rsidR="00B31DA4" w:rsidTr="000C66D0">
        <w:trPr>
          <w:trHeight w:val="714"/>
          <w:jc w:val="center"/>
        </w:trPr>
        <w:tc>
          <w:tcPr>
            <w:tcW w:w="2719"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9,081,773,921.89份</w:t>
            </w:r>
          </w:p>
        </w:tc>
      </w:tr>
      <w:tr w:rsidR="00B31DA4" w:rsidTr="000C66D0">
        <w:trPr>
          <w:trHeight w:val="688"/>
          <w:jc w:val="center"/>
        </w:trPr>
        <w:tc>
          <w:tcPr>
            <w:tcW w:w="2719"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中粮信托有限责任公司,国投泰康信托有限公司,中国人保资产管理有限公司,平安资产管理有限责任公司</w:t>
            </w:r>
          </w:p>
        </w:tc>
      </w:tr>
      <w:tr w:rsidR="00B31DA4" w:rsidTr="000C66D0">
        <w:trPr>
          <w:trHeight w:val="714"/>
          <w:jc w:val="center"/>
        </w:trPr>
        <w:tc>
          <w:tcPr>
            <w:tcW w:w="2719"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南银理财有限责任公司</w:t>
            </w:r>
          </w:p>
        </w:tc>
      </w:tr>
      <w:tr w:rsidR="00B31DA4" w:rsidTr="000C66D0">
        <w:trPr>
          <w:trHeight w:val="714"/>
          <w:jc w:val="center"/>
        </w:trPr>
        <w:tc>
          <w:tcPr>
            <w:tcW w:w="2719"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0C66D0">
            <w:pPr>
              <w:spacing w:beforeLines="20" w:afterLines="20"/>
              <w:jc w:val="left"/>
              <w:rPr>
                <w:rFonts w:ascii="方正仿宋简体" w:eastAsia="方正仿宋简体"/>
                <w:sz w:val="24"/>
                <w:szCs w:val="24"/>
              </w:rPr>
            </w:pPr>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0C66D0">
            <w:pPr>
              <w:spacing w:beforeLines="20" w:afterLines="20"/>
              <w:jc w:val="center"/>
              <w:rPr>
                <w:rFonts w:ascii="方正仿宋简体" w:eastAsia="方正仿宋简体"/>
                <w:sz w:val="24"/>
                <w:szCs w:val="24"/>
              </w:rPr>
            </w:pPr>
          </w:p>
        </w:tc>
        <w:tc>
          <w:tcPr>
            <w:tcW w:w="2693"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1.期末产品最后一个市场交易日资产净值</w:t>
            </w:r>
          </w:p>
        </w:tc>
        <w:tc>
          <w:tcPr>
            <w:tcW w:w="2410"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rsidR="00297DB2">
        <w:trPr>
          <w:trHeight w:val="565"/>
          <w:jc w:val="center"/>
        </w:trPr>
        <w:tc>
          <w:tcPr>
            <w:tcW w:w="1838"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A32011</w:t>
            </w:r>
          </w:p>
        </w:tc>
        <w:tc>
          <w:tcPr>
            <w:tcW w:w="2693"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7,463,957,495.04</w:t>
            </w:r>
          </w:p>
        </w:tc>
        <w:tc>
          <w:tcPr>
            <w:tcW w:w="2410"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1.0115</w:t>
            </w:r>
            <w:r w:rsidR="000C66D0">
              <w:rPr>
                <w:rFonts w:ascii="方正仿宋简体" w:eastAsia="方正仿宋简体" w:hAnsi="方正仿宋简体" w:cs="方正仿宋简体" w:hint="eastAsia"/>
                <w:sz w:val="24"/>
              </w:rPr>
              <w:t>33</w:t>
            </w:r>
          </w:p>
        </w:tc>
        <w:tc>
          <w:tcPr>
            <w:tcW w:w="2126"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1.0115</w:t>
            </w:r>
            <w:r w:rsidR="000C66D0">
              <w:rPr>
                <w:rFonts w:ascii="方正仿宋简体" w:eastAsia="方正仿宋简体" w:hAnsi="方正仿宋简体" w:cs="方正仿宋简体" w:hint="eastAsia"/>
                <w:sz w:val="24"/>
              </w:rPr>
              <w:t>33</w:t>
            </w:r>
          </w:p>
        </w:tc>
      </w:tr>
      <w:tr w:rsidR="00297DB2">
        <w:trPr>
          <w:trHeight w:val="565"/>
          <w:jc w:val="center"/>
        </w:trPr>
        <w:tc>
          <w:tcPr>
            <w:tcW w:w="1838"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lastRenderedPageBreak/>
              <w:t>A32012</w:t>
            </w:r>
          </w:p>
        </w:tc>
        <w:tc>
          <w:tcPr>
            <w:tcW w:w="2693"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65,038,318.65</w:t>
            </w:r>
          </w:p>
        </w:tc>
        <w:tc>
          <w:tcPr>
            <w:tcW w:w="2410" w:type="dxa"/>
            <w:vAlign w:val="center"/>
          </w:tcPr>
          <w:p w:rsidR="00297DB2" w:rsidRDefault="000C66D0" w:rsidP="000C66D0">
            <w:pPr>
              <w:spacing w:beforeLines="20" w:afterLines="20"/>
              <w:jc w:val="center"/>
              <w:textAlignment w:val="center"/>
              <w:rPr>
                <w:rFonts w:ascii="方正仿宋简体" w:eastAsia="方正仿宋简体"/>
                <w:sz w:val="24"/>
                <w:szCs w:val="24"/>
              </w:rPr>
            </w:pPr>
            <w:r w:rsidRPr="000C66D0">
              <w:rPr>
                <w:rFonts w:ascii="方正仿宋简体" w:eastAsia="方正仿宋简体" w:hAnsi="方正仿宋简体" w:cs="方正仿宋简体"/>
                <w:sz w:val="24"/>
              </w:rPr>
              <w:t>1.011385</w:t>
            </w:r>
          </w:p>
        </w:tc>
        <w:tc>
          <w:tcPr>
            <w:tcW w:w="2126" w:type="dxa"/>
            <w:vAlign w:val="center"/>
          </w:tcPr>
          <w:p w:rsidR="00297DB2" w:rsidRDefault="000C66D0" w:rsidP="000C66D0">
            <w:pPr>
              <w:spacing w:beforeLines="20" w:afterLines="20"/>
              <w:jc w:val="center"/>
              <w:textAlignment w:val="center"/>
              <w:rPr>
                <w:rFonts w:ascii="方正仿宋简体" w:eastAsia="方正仿宋简体"/>
                <w:sz w:val="24"/>
                <w:szCs w:val="24"/>
              </w:rPr>
            </w:pPr>
            <w:r w:rsidRPr="000C66D0">
              <w:rPr>
                <w:rFonts w:ascii="方正仿宋简体" w:eastAsia="方正仿宋简体" w:hAnsi="方正仿宋简体" w:cs="方正仿宋简体"/>
                <w:sz w:val="24"/>
              </w:rPr>
              <w:t>1.011385</w:t>
            </w:r>
          </w:p>
        </w:tc>
      </w:tr>
      <w:tr w:rsidR="00297DB2">
        <w:trPr>
          <w:trHeight w:val="565"/>
          <w:jc w:val="center"/>
        </w:trPr>
        <w:tc>
          <w:tcPr>
            <w:tcW w:w="1838"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A32013</w:t>
            </w:r>
          </w:p>
        </w:tc>
        <w:tc>
          <w:tcPr>
            <w:tcW w:w="2693"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1,656,456,262.50</w:t>
            </w:r>
          </w:p>
        </w:tc>
        <w:tc>
          <w:tcPr>
            <w:tcW w:w="2410" w:type="dxa"/>
            <w:vAlign w:val="center"/>
          </w:tcPr>
          <w:p w:rsidR="00297DB2" w:rsidRDefault="000C66D0" w:rsidP="000C66D0">
            <w:pPr>
              <w:spacing w:beforeLines="20" w:afterLines="20"/>
              <w:jc w:val="center"/>
              <w:textAlignment w:val="center"/>
              <w:rPr>
                <w:rFonts w:ascii="方正仿宋简体" w:eastAsia="方正仿宋简体"/>
                <w:sz w:val="24"/>
                <w:szCs w:val="24"/>
              </w:rPr>
            </w:pPr>
            <w:r w:rsidRPr="000C66D0">
              <w:rPr>
                <w:rFonts w:ascii="方正仿宋简体" w:eastAsia="方正仿宋简体" w:hAnsi="方正仿宋简体" w:cs="方正仿宋简体"/>
                <w:sz w:val="24"/>
              </w:rPr>
              <w:t>1.010887</w:t>
            </w:r>
          </w:p>
        </w:tc>
        <w:tc>
          <w:tcPr>
            <w:tcW w:w="2126" w:type="dxa"/>
            <w:vAlign w:val="center"/>
          </w:tcPr>
          <w:p w:rsidR="00297DB2" w:rsidRDefault="000C66D0" w:rsidP="000C66D0">
            <w:pPr>
              <w:spacing w:beforeLines="20" w:afterLines="20"/>
              <w:jc w:val="center"/>
              <w:textAlignment w:val="center"/>
              <w:rPr>
                <w:rFonts w:ascii="方正仿宋简体" w:eastAsia="方正仿宋简体"/>
                <w:sz w:val="24"/>
                <w:szCs w:val="24"/>
              </w:rPr>
            </w:pPr>
            <w:r w:rsidRPr="000C66D0">
              <w:rPr>
                <w:rFonts w:ascii="方正仿宋简体" w:eastAsia="方正仿宋简体" w:hAnsi="方正仿宋简体" w:cs="方正仿宋简体"/>
                <w:sz w:val="24"/>
              </w:rPr>
              <w:t>1.010887</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2023年四季度，债券市场呈现横盘震荡、中枢下移的特征。国庆假期之后，稳增长政策发力预期显著抬升，特殊再融资债密集发行和1万亿国债增发导致债市供需格局失衡，债市调整；于此同时，“防空转”叠加人民币汇率贬值压力，资金面明显收紧，短端利率易上难下，利率曲线熊平。临近年末，随着经济工作会议落地，稳增长政策预期被市场逐步消化；银行存款利率下调，宽货币信号及预期走强；跨年资金价格回落，机构配置力量较强，债市上涨。</w:t>
      </w:r>
      <w:r>
        <w:rPr>
          <w:rFonts w:ascii="方正仿宋简体" w:eastAsia="方正仿宋简体" w:hint="eastAsia"/>
          <w:sz w:val="24"/>
          <w:szCs w:val="24"/>
        </w:rPr>
        <w:br w:type="textWrapping" w:clear="all"/>
        <w:t>  下一阶段，基本面和资金面仍然是债券市场的核心驱动因素。目前我国经济回升向好、动力增强，高质量发展扎实推进，但仍面临有效需求不足、社会预期偏弱等挑战，基本面对债券市场有支撑；稳增长基调下，货币政策导向积极稳健，债券市场风险可控。</w:t>
      </w:r>
      <w:r>
        <w:rPr>
          <w:rFonts w:ascii="方正仿宋简体" w:eastAsia="方正仿宋简体" w:hint="eastAsia"/>
          <w:sz w:val="24"/>
          <w:szCs w:val="24"/>
        </w:rPr>
        <w:br w:type="textWrapping" w:clear="all"/>
        <w:t>  本产品为短期产品，坚持稳健配置的管理思路，精选中短久期信用债、银行存款、债券回购为主要配置资产，兼顾收益与流动性。往后看，本产品操作上将以中性策略应对，持续关注低波票息资产的配置价值，提升高流动性资产收益，控制市值久期，为客户提供稳定的收益回报。</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lastRenderedPageBreak/>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t>
      </w:r>
      <w:r w:rsidRPr="00B0184E">
        <w:rPr>
          <w:rFonts w:ascii="方正仿宋简体" w:eastAsia="方正仿宋简体"/>
          <w:sz w:val="24"/>
          <w:szCs w:val="24"/>
        </w:rPr>
        <w:t>本产品持仓资产以债券为主，在持仓中维持合理比例高流动性资产，产品流动性状况较好。</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截至报告期末，本产品A32011份额净值为</w:t>
      </w:r>
      <w:r w:rsidR="000C66D0" w:rsidRPr="000C66D0">
        <w:rPr>
          <w:rFonts w:ascii="方正仿宋简体" w:eastAsia="方正仿宋简体"/>
          <w:sz w:val="24"/>
          <w:szCs w:val="24"/>
        </w:rPr>
        <w:t>1.011533</w:t>
      </w:r>
      <w:r w:rsidRPr="00B0184E">
        <w:rPr>
          <w:rFonts w:ascii="方正仿宋简体" w:eastAsia="方正仿宋简体" w:hint="eastAsia"/>
          <w:sz w:val="24"/>
          <w:szCs w:val="24"/>
        </w:rPr>
        <w:t>元，A32012份额净值为</w:t>
      </w:r>
      <w:r w:rsidR="000C66D0" w:rsidRPr="000C66D0">
        <w:rPr>
          <w:rFonts w:ascii="方正仿宋简体" w:eastAsia="方正仿宋简体"/>
          <w:sz w:val="24"/>
          <w:szCs w:val="24"/>
        </w:rPr>
        <w:t>1.011385</w:t>
      </w:r>
      <w:r w:rsidRPr="00B0184E">
        <w:rPr>
          <w:rFonts w:ascii="方正仿宋简体" w:eastAsia="方正仿宋简体" w:hint="eastAsia"/>
          <w:sz w:val="24"/>
          <w:szCs w:val="24"/>
        </w:rPr>
        <w:t>元，A32013份额净值为</w:t>
      </w:r>
      <w:r w:rsidR="000C66D0" w:rsidRPr="000C66D0">
        <w:rPr>
          <w:rFonts w:ascii="方正仿宋简体" w:eastAsia="方正仿宋简体"/>
          <w:sz w:val="24"/>
          <w:szCs w:val="24"/>
        </w:rPr>
        <w:t>1.010887</w:t>
      </w:r>
      <w:r w:rsidRPr="00B0184E">
        <w:rPr>
          <w:rFonts w:ascii="方正仿宋简体" w:eastAsia="方正仿宋简体" w:hint="eastAsia"/>
          <w:sz w:val="24"/>
          <w:szCs w:val="24"/>
        </w:rPr>
        <w:t>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745"/>
        <w:gridCol w:w="1859"/>
        <w:gridCol w:w="3002"/>
        <w:gridCol w:w="3289"/>
      </w:tblGrid>
      <w:tr w:rsidR="00A21516" w:rsidTr="0031044B">
        <w:trPr>
          <w:jc w:val="center"/>
        </w:trPr>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穿透前占总资产比例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rPr>
          <w:jc w:val="center"/>
        </w:trPr>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100.00%</w:t>
            </w:r>
          </w:p>
        </w:tc>
      </w:tr>
      <w:tr w:rsidR="00A21516" w:rsidTr="0031044B">
        <w:trPr>
          <w:jc w:val="center"/>
        </w:trPr>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0.00%</w:t>
            </w:r>
          </w:p>
        </w:tc>
      </w:tr>
      <w:tr w:rsidR="00A21516" w:rsidTr="0031044B">
        <w:trPr>
          <w:jc w:val="center"/>
        </w:trPr>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0.00%</w:t>
            </w:r>
          </w:p>
        </w:tc>
      </w:tr>
      <w:tr w:rsidR="00A21516" w:rsidTr="0031044B">
        <w:trPr>
          <w:jc w:val="center"/>
        </w:trPr>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0.00%</w:t>
            </w:r>
          </w:p>
        </w:tc>
      </w:tr>
      <w:tr w:rsidR="00A21516" w:rsidTr="0031044B">
        <w:trPr>
          <w:jc w:val="center"/>
        </w:trPr>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rsidR="00297DB2">
        <w:trPr>
          <w:trHeight w:val="583"/>
          <w:jc w:val="center"/>
        </w:trPr>
        <w:tc>
          <w:tcPr>
            <w:tcW w:w="751"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lastRenderedPageBreak/>
              <w:t>1</w:t>
            </w:r>
          </w:p>
        </w:tc>
        <w:tc>
          <w:tcPr>
            <w:tcW w:w="1585"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XJCKX202212020001</w:t>
            </w:r>
          </w:p>
        </w:tc>
        <w:tc>
          <w:tcPr>
            <w:tcW w:w="2720"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农业银行活期存款</w:t>
            </w:r>
          </w:p>
        </w:tc>
        <w:tc>
          <w:tcPr>
            <w:tcW w:w="2058"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1,724,967,583.33</w:t>
            </w:r>
          </w:p>
        </w:tc>
        <w:tc>
          <w:tcPr>
            <w:tcW w:w="1812"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18.78</w:t>
            </w:r>
          </w:p>
        </w:tc>
      </w:tr>
      <w:tr w:rsidR="00297DB2">
        <w:trPr>
          <w:trHeight w:val="583"/>
          <w:jc w:val="center"/>
        </w:trPr>
        <w:tc>
          <w:tcPr>
            <w:tcW w:w="751"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w:t>
            </w:r>
          </w:p>
        </w:tc>
        <w:tc>
          <w:tcPr>
            <w:tcW w:w="1585"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ZJQTT202308040001</w:t>
            </w:r>
          </w:p>
        </w:tc>
        <w:tc>
          <w:tcPr>
            <w:tcW w:w="2720"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中粮信托</w:t>
            </w:r>
            <w:r>
              <w:rPr>
                <w:rFonts w:ascii="方正仿宋简体" w:eastAsia="方正仿宋简体" w:hAnsi="方正仿宋简体" w:cs="方正仿宋简体"/>
                <w:sz w:val="24"/>
              </w:rPr>
              <w:t>-</w:t>
            </w:r>
            <w:r>
              <w:rPr>
                <w:rFonts w:ascii="方正仿宋简体" w:eastAsia="方正仿宋简体" w:hAnsi="方正仿宋简体" w:cs="方正仿宋简体"/>
                <w:sz w:val="24"/>
              </w:rPr>
              <w:t>鼎兴</w:t>
            </w:r>
            <w:r>
              <w:rPr>
                <w:rFonts w:ascii="方正仿宋简体" w:eastAsia="方正仿宋简体" w:hAnsi="方正仿宋简体" w:cs="方正仿宋简体"/>
                <w:sz w:val="24"/>
              </w:rPr>
              <w:t>3</w:t>
            </w:r>
            <w:r>
              <w:rPr>
                <w:rFonts w:ascii="方正仿宋简体" w:eastAsia="方正仿宋简体" w:hAnsi="方正仿宋简体" w:cs="方正仿宋简体"/>
                <w:sz w:val="24"/>
              </w:rPr>
              <w:t>号集合资金信托计划</w:t>
            </w:r>
          </w:p>
        </w:tc>
        <w:tc>
          <w:tcPr>
            <w:tcW w:w="2058"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1,360,236,717.63</w:t>
            </w:r>
          </w:p>
        </w:tc>
        <w:tc>
          <w:tcPr>
            <w:tcW w:w="1812"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14.81</w:t>
            </w:r>
          </w:p>
        </w:tc>
      </w:tr>
      <w:tr w:rsidR="00297DB2">
        <w:trPr>
          <w:trHeight w:val="583"/>
          <w:jc w:val="center"/>
        </w:trPr>
        <w:tc>
          <w:tcPr>
            <w:tcW w:w="751"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3</w:t>
            </w:r>
          </w:p>
        </w:tc>
        <w:tc>
          <w:tcPr>
            <w:tcW w:w="1585"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ZJQTT202311080002</w:t>
            </w:r>
          </w:p>
        </w:tc>
        <w:tc>
          <w:tcPr>
            <w:tcW w:w="2720"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国投泰康信托福佳</w:t>
            </w:r>
            <w:r>
              <w:rPr>
                <w:rFonts w:ascii="方正仿宋简体" w:eastAsia="方正仿宋简体" w:hAnsi="方正仿宋简体" w:cs="方正仿宋简体"/>
                <w:sz w:val="24"/>
              </w:rPr>
              <w:t>2</w:t>
            </w:r>
            <w:r>
              <w:rPr>
                <w:rFonts w:ascii="方正仿宋简体" w:eastAsia="方正仿宋简体" w:hAnsi="方正仿宋简体" w:cs="方正仿宋简体"/>
                <w:sz w:val="24"/>
              </w:rPr>
              <w:t>号集合资金信托计划</w:t>
            </w:r>
          </w:p>
        </w:tc>
        <w:tc>
          <w:tcPr>
            <w:tcW w:w="2058"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1,133,293,025.39</w:t>
            </w:r>
          </w:p>
        </w:tc>
        <w:tc>
          <w:tcPr>
            <w:tcW w:w="1812"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12.34</w:t>
            </w:r>
          </w:p>
        </w:tc>
      </w:tr>
      <w:tr w:rsidR="00297DB2">
        <w:trPr>
          <w:trHeight w:val="583"/>
          <w:jc w:val="center"/>
        </w:trPr>
        <w:tc>
          <w:tcPr>
            <w:tcW w:w="751"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4</w:t>
            </w:r>
          </w:p>
        </w:tc>
        <w:tc>
          <w:tcPr>
            <w:tcW w:w="1585"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ZJQTT202306010001</w:t>
            </w:r>
          </w:p>
        </w:tc>
        <w:tc>
          <w:tcPr>
            <w:tcW w:w="2720"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中粮信托</w:t>
            </w:r>
            <w:r>
              <w:rPr>
                <w:rFonts w:ascii="方正仿宋简体" w:eastAsia="方正仿宋简体" w:hAnsi="方正仿宋简体" w:cs="方正仿宋简体"/>
                <w:sz w:val="24"/>
              </w:rPr>
              <w:t>-</w:t>
            </w:r>
            <w:r>
              <w:rPr>
                <w:rFonts w:ascii="方正仿宋简体" w:eastAsia="方正仿宋简体" w:hAnsi="方正仿宋简体" w:cs="方正仿宋简体"/>
                <w:sz w:val="24"/>
              </w:rPr>
              <w:t>鼎兴</w:t>
            </w:r>
            <w:r>
              <w:rPr>
                <w:rFonts w:ascii="方正仿宋简体" w:eastAsia="方正仿宋简体" w:hAnsi="方正仿宋简体" w:cs="方正仿宋简体"/>
                <w:sz w:val="24"/>
              </w:rPr>
              <w:t>2</w:t>
            </w:r>
            <w:r>
              <w:rPr>
                <w:rFonts w:ascii="方正仿宋简体" w:eastAsia="方正仿宋简体" w:hAnsi="方正仿宋简体" w:cs="方正仿宋简体"/>
                <w:sz w:val="24"/>
              </w:rPr>
              <w:t>号集合资金信托计划</w:t>
            </w:r>
          </w:p>
        </w:tc>
        <w:tc>
          <w:tcPr>
            <w:tcW w:w="2058"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403,615,066.46</w:t>
            </w:r>
          </w:p>
        </w:tc>
        <w:tc>
          <w:tcPr>
            <w:tcW w:w="1812"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4.39</w:t>
            </w:r>
          </w:p>
        </w:tc>
      </w:tr>
      <w:tr w:rsidR="00297DB2">
        <w:trPr>
          <w:trHeight w:val="583"/>
          <w:jc w:val="center"/>
        </w:trPr>
        <w:tc>
          <w:tcPr>
            <w:tcW w:w="751"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5</w:t>
            </w:r>
          </w:p>
        </w:tc>
        <w:tc>
          <w:tcPr>
            <w:tcW w:w="1585"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251446</w:t>
            </w:r>
          </w:p>
        </w:tc>
        <w:tc>
          <w:tcPr>
            <w:tcW w:w="2720"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23</w:t>
            </w:r>
            <w:r>
              <w:rPr>
                <w:rFonts w:ascii="方正仿宋简体" w:eastAsia="方正仿宋简体" w:hAnsi="方正仿宋简体" w:cs="方正仿宋简体"/>
                <w:sz w:val="24"/>
              </w:rPr>
              <w:t>富湾</w:t>
            </w:r>
            <w:r>
              <w:rPr>
                <w:rFonts w:ascii="方正仿宋简体" w:eastAsia="方正仿宋简体" w:hAnsi="方正仿宋简体" w:cs="方正仿宋简体"/>
                <w:sz w:val="24"/>
              </w:rPr>
              <w:t>02</w:t>
            </w:r>
          </w:p>
        </w:tc>
        <w:tc>
          <w:tcPr>
            <w:tcW w:w="2058"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300,000,000.00</w:t>
            </w:r>
          </w:p>
        </w:tc>
        <w:tc>
          <w:tcPr>
            <w:tcW w:w="1812"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3.27</w:t>
            </w:r>
          </w:p>
        </w:tc>
      </w:tr>
      <w:tr w:rsidR="00297DB2">
        <w:trPr>
          <w:trHeight w:val="583"/>
          <w:jc w:val="center"/>
        </w:trPr>
        <w:tc>
          <w:tcPr>
            <w:tcW w:w="751"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6</w:t>
            </w:r>
          </w:p>
        </w:tc>
        <w:tc>
          <w:tcPr>
            <w:tcW w:w="1585"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XJCKX202312190022</w:t>
            </w:r>
          </w:p>
        </w:tc>
        <w:tc>
          <w:tcPr>
            <w:tcW w:w="2720"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浦发银行南京分行活期存款</w:t>
            </w:r>
          </w:p>
        </w:tc>
        <w:tc>
          <w:tcPr>
            <w:tcW w:w="2058"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260,000,000.00</w:t>
            </w:r>
          </w:p>
        </w:tc>
        <w:tc>
          <w:tcPr>
            <w:tcW w:w="1812"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2.83</w:t>
            </w:r>
          </w:p>
        </w:tc>
      </w:tr>
      <w:tr w:rsidR="00297DB2">
        <w:trPr>
          <w:trHeight w:val="583"/>
          <w:jc w:val="center"/>
        </w:trPr>
        <w:tc>
          <w:tcPr>
            <w:tcW w:w="751"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7</w:t>
            </w:r>
          </w:p>
        </w:tc>
        <w:tc>
          <w:tcPr>
            <w:tcW w:w="1585"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ZJQTT202312180001</w:t>
            </w:r>
          </w:p>
        </w:tc>
        <w:tc>
          <w:tcPr>
            <w:tcW w:w="2720"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平安资产春风</w:t>
            </w:r>
            <w:r>
              <w:rPr>
                <w:rFonts w:ascii="方正仿宋简体" w:eastAsia="方正仿宋简体" w:hAnsi="方正仿宋简体" w:cs="方正仿宋简体"/>
                <w:sz w:val="24"/>
              </w:rPr>
              <w:t>55</w:t>
            </w:r>
            <w:r>
              <w:rPr>
                <w:rFonts w:ascii="方正仿宋简体" w:eastAsia="方正仿宋简体" w:hAnsi="方正仿宋简体" w:cs="方正仿宋简体"/>
                <w:sz w:val="24"/>
              </w:rPr>
              <w:t>号资产管理产品</w:t>
            </w:r>
          </w:p>
        </w:tc>
        <w:tc>
          <w:tcPr>
            <w:tcW w:w="2058"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250,200,000.00</w:t>
            </w:r>
          </w:p>
        </w:tc>
        <w:tc>
          <w:tcPr>
            <w:tcW w:w="1812"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2.72</w:t>
            </w:r>
          </w:p>
        </w:tc>
      </w:tr>
      <w:tr w:rsidR="00297DB2">
        <w:trPr>
          <w:trHeight w:val="583"/>
          <w:jc w:val="center"/>
        </w:trPr>
        <w:tc>
          <w:tcPr>
            <w:tcW w:w="751"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8</w:t>
            </w:r>
          </w:p>
        </w:tc>
        <w:tc>
          <w:tcPr>
            <w:tcW w:w="1585"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252920</w:t>
            </w:r>
          </w:p>
        </w:tc>
        <w:tc>
          <w:tcPr>
            <w:tcW w:w="2720"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23</w:t>
            </w:r>
            <w:r>
              <w:rPr>
                <w:rFonts w:ascii="方正仿宋简体" w:eastAsia="方正仿宋简体" w:hAnsi="方正仿宋简体" w:cs="方正仿宋简体"/>
                <w:sz w:val="24"/>
              </w:rPr>
              <w:t>华阔</w:t>
            </w:r>
            <w:r>
              <w:rPr>
                <w:rFonts w:ascii="方正仿宋简体" w:eastAsia="方正仿宋简体" w:hAnsi="方正仿宋简体" w:cs="方正仿宋简体"/>
                <w:sz w:val="24"/>
              </w:rPr>
              <w:t>06</w:t>
            </w:r>
          </w:p>
        </w:tc>
        <w:tc>
          <w:tcPr>
            <w:tcW w:w="2058"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220,000,000.00</w:t>
            </w:r>
          </w:p>
        </w:tc>
        <w:tc>
          <w:tcPr>
            <w:tcW w:w="1812"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2.40</w:t>
            </w:r>
          </w:p>
        </w:tc>
      </w:tr>
      <w:tr w:rsidR="00297DB2">
        <w:trPr>
          <w:trHeight w:val="583"/>
          <w:jc w:val="center"/>
        </w:trPr>
        <w:tc>
          <w:tcPr>
            <w:tcW w:w="751"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9</w:t>
            </w:r>
          </w:p>
        </w:tc>
        <w:tc>
          <w:tcPr>
            <w:tcW w:w="1585"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252988</w:t>
            </w:r>
          </w:p>
        </w:tc>
        <w:tc>
          <w:tcPr>
            <w:tcW w:w="2720"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23</w:t>
            </w:r>
            <w:r>
              <w:rPr>
                <w:rFonts w:ascii="方正仿宋简体" w:eastAsia="方正仿宋简体" w:hAnsi="方正仿宋简体" w:cs="方正仿宋简体"/>
                <w:sz w:val="24"/>
              </w:rPr>
              <w:t>淮经</w:t>
            </w:r>
            <w:r>
              <w:rPr>
                <w:rFonts w:ascii="方正仿宋简体" w:eastAsia="方正仿宋简体" w:hAnsi="方正仿宋简体" w:cs="方正仿宋简体"/>
                <w:sz w:val="24"/>
              </w:rPr>
              <w:t>04</w:t>
            </w:r>
          </w:p>
        </w:tc>
        <w:tc>
          <w:tcPr>
            <w:tcW w:w="2058"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200,000,000.00</w:t>
            </w:r>
          </w:p>
        </w:tc>
        <w:tc>
          <w:tcPr>
            <w:tcW w:w="1812"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2.18</w:t>
            </w:r>
          </w:p>
        </w:tc>
      </w:tr>
      <w:tr w:rsidR="00297DB2">
        <w:trPr>
          <w:trHeight w:val="583"/>
          <w:jc w:val="center"/>
        </w:trPr>
        <w:tc>
          <w:tcPr>
            <w:tcW w:w="751"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w:t>
            </w:r>
          </w:p>
        </w:tc>
        <w:tc>
          <w:tcPr>
            <w:tcW w:w="1585" w:type="dxa"/>
            <w:shd w:val="clear" w:color="auto" w:fill="auto"/>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252616</w:t>
            </w:r>
          </w:p>
        </w:tc>
        <w:tc>
          <w:tcPr>
            <w:tcW w:w="2720"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23</w:t>
            </w:r>
            <w:r>
              <w:rPr>
                <w:rFonts w:ascii="方正仿宋简体" w:eastAsia="方正仿宋简体" w:hAnsi="方正仿宋简体" w:cs="方正仿宋简体"/>
                <w:sz w:val="24"/>
              </w:rPr>
              <w:t>国控</w:t>
            </w:r>
            <w:r>
              <w:rPr>
                <w:rFonts w:ascii="方正仿宋简体" w:eastAsia="方正仿宋简体" w:hAnsi="方正仿宋简体" w:cs="方正仿宋简体"/>
                <w:sz w:val="24"/>
              </w:rPr>
              <w:t>02</w:t>
            </w:r>
          </w:p>
        </w:tc>
        <w:tc>
          <w:tcPr>
            <w:tcW w:w="2058"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200,000,000.00</w:t>
            </w:r>
          </w:p>
        </w:tc>
        <w:tc>
          <w:tcPr>
            <w:tcW w:w="1812" w:type="dxa"/>
            <w:shd w:val="clear" w:color="000000" w:fill="FFFFFF"/>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2.18</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rsidR="00297DB2">
        <w:trPr>
          <w:trHeight w:val="571"/>
          <w:jc w:val="center"/>
        </w:trPr>
        <w:tc>
          <w:tcPr>
            <w:tcW w:w="877"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1704"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1275"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1540"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1383"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1271"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876"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0C66D0">
            <w:pPr>
              <w:spacing w:beforeLines="20" w:afterLines="20"/>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rsidR="00297DB2">
        <w:trPr>
          <w:trHeight w:val="584"/>
          <w:jc w:val="center"/>
        </w:trPr>
        <w:tc>
          <w:tcPr>
            <w:tcW w:w="846"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lastRenderedPageBreak/>
              <w:t>1</w:t>
            </w:r>
          </w:p>
        </w:tc>
        <w:tc>
          <w:tcPr>
            <w:tcW w:w="1417"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托管账户</w:t>
            </w:r>
          </w:p>
        </w:tc>
        <w:tc>
          <w:tcPr>
            <w:tcW w:w="2668"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0101090000000655</w:t>
            </w:r>
          </w:p>
        </w:tc>
        <w:tc>
          <w:tcPr>
            <w:tcW w:w="1983"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南京银行南京分行南银理财鼎瑞悦稳最低持有</w:t>
            </w:r>
            <w:r>
              <w:rPr>
                <w:rFonts w:ascii="方正仿宋简体" w:eastAsia="方正仿宋简体" w:hAnsi="方正仿宋简体" w:cs="方正仿宋简体"/>
                <w:sz w:val="24"/>
              </w:rPr>
              <w:t>7</w:t>
            </w:r>
            <w:r>
              <w:rPr>
                <w:rFonts w:ascii="方正仿宋简体" w:eastAsia="方正仿宋简体" w:hAnsi="方正仿宋简体" w:cs="方正仿宋简体"/>
                <w:sz w:val="24"/>
              </w:rPr>
              <w:t>天</w:t>
            </w:r>
          </w:p>
        </w:tc>
        <w:tc>
          <w:tcPr>
            <w:tcW w:w="1988" w:type="dxa"/>
            <w:vAlign w:val="center"/>
          </w:tcPr>
          <w:p w:rsidR="00297DB2" w:rsidRDefault="008424F2" w:rsidP="000C66D0">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报告期内，产品投资于关联方发行的证券、关联方作为融资人的非标准化债权类资产业务交易金额0.00元。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支付关联方托管费163,371.85</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18,356.20</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lastRenderedPageBreak/>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24F2" w:rsidRDefault="008424F2">
      <w:pPr>
        <w:spacing w:after="72"/>
      </w:pPr>
      <w:r>
        <w:separator/>
      </w:r>
    </w:p>
  </w:endnote>
  <w:endnote w:type="continuationSeparator" w:id="1">
    <w:p w:rsidR="008424F2" w:rsidRDefault="008424F2">
      <w:pPr>
        <w:spacing w:after="72"/>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DA4" w:rsidRDefault="00297DB2">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DA4" w:rsidRDefault="00B31DA4">
    <w:pPr>
      <w:pStyle w:val="a3"/>
      <w:spacing w:after="72"/>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DA4" w:rsidRDefault="00B31DA4">
    <w:pPr>
      <w:pStyle w:val="a3"/>
      <w:spacing w:after="7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24F2" w:rsidRDefault="008424F2">
      <w:pPr>
        <w:spacing w:after="72"/>
      </w:pPr>
      <w:r>
        <w:separator/>
      </w:r>
    </w:p>
  </w:footnote>
  <w:footnote w:type="continuationSeparator" w:id="1">
    <w:p w:rsidR="008424F2" w:rsidRDefault="008424F2">
      <w:pPr>
        <w:spacing w:after="72"/>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DA4" w:rsidRDefault="00B31DA4">
    <w:pPr>
      <w:pStyle w:val="a4"/>
      <w:spacing w:after="72"/>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DA4" w:rsidRDefault="00B31DA4">
    <w:pPr>
      <w:pStyle w:val="a4"/>
      <w:spacing w:after="72"/>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DA4" w:rsidRDefault="00B31DA4">
    <w:pPr>
      <w:pStyle w:val="a4"/>
      <w:spacing w:after="72"/>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0C66D0"/>
    <w:rsid w:val="00103A35"/>
    <w:rsid w:val="001129D2"/>
    <w:rsid w:val="00137120"/>
    <w:rsid w:val="00142497"/>
    <w:rsid w:val="0018311F"/>
    <w:rsid w:val="00201F77"/>
    <w:rsid w:val="00232109"/>
    <w:rsid w:val="00232DB0"/>
    <w:rsid w:val="002344B0"/>
    <w:rsid w:val="00244B70"/>
    <w:rsid w:val="002624BA"/>
    <w:rsid w:val="00262B4B"/>
    <w:rsid w:val="002867ED"/>
    <w:rsid w:val="00297DB2"/>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424F2"/>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7</Pages>
  <Words>364</Words>
  <Characters>2080</Characters>
  <Application>Microsoft Office Word</Application>
  <DocSecurity>0</DocSecurity>
  <Lines>17</Lines>
  <Paragraphs>4</Paragraphs>
  <ScaleCrop>false</ScaleCrop>
  <Company>cc</Company>
  <LinksUpToDate>false</LinksUpToDate>
  <CharactersWithSpaces>2440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演示人</dc:creator>
  <cp:lastModifiedBy>糜格宇</cp:lastModifiedBy>
  <cp:revision>117</cp:revision>
  <dcterms:created xsi:type="dcterms:W3CDTF">2022-08-03T07:42:00Z</dcterms:created>
  <dcterms:modified xsi:type="dcterms:W3CDTF">2024-01-09T14:18:00Z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