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
      </w:r>
      <w:proofErr w:type="spellStart"/>
      <w:r w:rsidRPr="00B0184E">
        <w:rPr>
          <w:rFonts w:ascii="方正黑体简体" w:eastAsia="方正黑体简体" w:hAnsi="Calibri" w:hint="eastAsia"/>
          <w:sz w:val="36"/>
        </w:rPr>
        <w:t/>
      </w:r>
      <w:proofErr w:type="spellEnd"/>
      <w:r w:rsidRPr="00B0184E">
        <w:rPr>
          <w:rFonts w:ascii="方正黑体简体" w:eastAsia="方正黑体简体" w:hAnsi="Calibri" w:hint="eastAsia"/>
          <w:sz w:val="36"/>
        </w:rPr>
        <w:t>南银理财珠联璧合鑫逸稳一年117期封闭式公募人民币理财产品</w:t>
      </w: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2023年第</w:t>
      </w:r>
      <w:r w:rsidR="00E80B2A" w:rsidRPr="00B0184E">
        <w:rPr>
          <w:rFonts w:ascii="方正黑体简体" w:eastAsia="方正黑体简体" w:hAnsi="Calibri" w:hint="eastAsia"/>
          <w:sz w:val="36"/>
        </w:rPr>
        <w:t>4</w:t>
      </w:r>
      <w:r w:rsidRPr="00B0184E">
        <w:rPr>
          <w:rFonts w:ascii="方正黑体简体" w:eastAsia="方正黑体简体" w:hAnsi="Calibri" w:hint="eastAsia"/>
          <w:sz w:val="36"/>
        </w:rPr>
        <w:t>季度报告</w:t>
      </w: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产品管理人:南银理财有限责任公司</w:t>
      </w: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产品托管人:南京银行股份有限公司</w:t>
      </w:r>
    </w:p>
    <w:p w:rsidR="00D46EBF" w:rsidRPr="00D46EBF" w:rsidRDefault="00D46EBF" w:rsidP="00675A8D">
      <w:pPr>
        <w:spacing w:before="240" w:after="72" w:line="360" w:lineRule="auto"/>
        <w:rPr>
          <w:rFonts w:ascii="方正黑体简体" w:eastAsia="方正黑体简体"/>
          <w:sz w:val="36"/>
          <w:szCs w:val="36"/>
        </w:rPr>
      </w:pPr>
    </w:p>
    <w:p w:rsidR="00D46EBF" w:rsidRPr="0068509B" w:rsidRDefault="00D46EBF" w:rsidP="00675A8D">
      <w:pPr>
        <w:spacing w:before="240" w:after="72" w:line="360" w:lineRule="auto"/>
        <w:rPr>
          <w:rFonts w:ascii="方正黑体简体" w:eastAsia="方正黑体简体"/>
          <w:sz w:val="36"/>
          <w:szCs w:val="36"/>
        </w:rPr>
      </w:pPr>
    </w:p>
    <w:p w:rsidR="00D46EBF" w:rsidRDefault="00D46EBF" w:rsidP="00675A8D">
      <w:pPr>
        <w:widowControl/>
        <w:spacing w:before="240" w:afterLines="0" w:line="360" w:lineRule="auto"/>
        <w:jc w:val="left"/>
        <w:rPr>
          <w:rFonts w:ascii="方正仿宋_GBK" w:eastAsia="方正仿宋_GBK" w:hAnsi="Calibri"/>
          <w:b/>
        </w:rPr>
      </w:pPr>
      <w:r>
        <w:rPr>
          <w:rFonts w:ascii="方正仿宋_GBK" w:eastAsia="方正仿宋_GBK" w:hAnsi="Calibri"/>
          <w:b/>
        </w:rPr>
        <w:br w:type="page"/>
      </w: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lastRenderedPageBreak/>
        <w:t>§1 产品概况</w:t>
      </w:r>
    </w:p>
    <w:tbl>
      <w:tblPr>
        <w:tblpPr w:leftFromText="180" w:rightFromText="180" w:vertAnchor="text" w:tblpY="1"/>
        <w:tblOverlap w:val="never"/>
        <w:tblW w:w="8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2719"/>
        <w:gridCol w:w="6178"/>
      </w:tblGrid>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产品全称</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南银理财珠联璧合鑫逸稳一年117期封闭式公募人民币理财产品</w:t>
            </w:r>
          </w:p>
        </w:tc>
      </w:tr>
      <w:tr w:rsidR="00B31DA4" w:rsidTr="0031044B">
        <w:trPr>
          <w:trHeight w:val="1300"/>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产品登记编码</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Z7003223000103（投资者可依据该编码在中国</w:t>
            </w:r>
            <w:proofErr w:type="gramStart"/>
            <w:r w:rsidRPr="00B0184E">
              <w:rPr>
                <w:rFonts w:ascii="方正仿宋简体" w:eastAsia="方正仿宋简体" w:hint="eastAsia"/>
                <w:sz w:val="24"/>
                <w:szCs w:val="24"/>
              </w:rPr>
              <w:t>理财网</w:t>
            </w:r>
            <w:proofErr w:type="gramEnd"/>
            <w:r w:rsidRPr="00B0184E">
              <w:rPr>
                <w:rFonts w:ascii="方正仿宋简体" w:eastAsia="方正仿宋简体" w:hint="eastAsia"/>
                <w:sz w:val="24"/>
                <w:szCs w:val="24"/>
              </w:rPr>
              <w:t>www.chinawealth.com.cn查询理财产品相关信息）</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产品运作方式</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封闭式净值型</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产品成立日</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2023年05月31日</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报告期末产品份额总额</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1,431,121,437.00份</w:t>
            </w:r>
          </w:p>
        </w:tc>
      </w:tr>
      <w:tr w:rsidR="00B31DA4" w:rsidTr="0031044B">
        <w:trPr>
          <w:trHeight w:val="688"/>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合作机构</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云南国际信托有限公司,江苏省国际信托有限责任公司,中国对外经济贸易信托有限公司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产品管理人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南银理财有限责任公司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产品托管人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南京银行股份有限公司</w:t>
            </w:r>
          </w:p>
        </w:tc>
      </w:tr>
    </w:tbl>
    <w:p w:rsidR="00B31DA4" w:rsidRDefault="00B31DA4" w:rsidP="00675A8D">
      <w:pPr>
        <w:spacing w:before="240" w:after="72" w:line="360" w:lineRule="auto"/>
        <w:rPr>
          <w:rFonts w:ascii="方正仿宋_GBK" w:eastAsia="方正仿宋_GBK" w:hAnsi="宋体" w:cs="宋体"/>
          <w:kern w:val="0"/>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§2  主要财务指标</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2.1 主要财务指标</w:t>
      </w:r>
    </w:p>
    <w:p w:rsidR="00B31DA4" w:rsidRPr="00B0184E" w:rsidRDefault="007816A9" w:rsidP="00675A8D">
      <w:pPr>
        <w:spacing w:before="240" w:after="72" w:line="360" w:lineRule="auto"/>
        <w:jc w:val="right"/>
        <w:rPr>
          <w:rFonts w:ascii="方正仿宋简体" w:eastAsia="方正仿宋简体"/>
          <w:sz w:val="24"/>
          <w:szCs w:val="24"/>
        </w:rPr>
      </w:pPr>
      <w:r w:rsidRPr="00B0184E">
        <w:rPr>
          <w:rFonts w:ascii="方正仿宋简体" w:eastAsia="方正仿宋简体" w:hint="eastAsia"/>
          <w:sz w:val="24"/>
          <w:szCs w:val="24"/>
        </w:rPr>
        <w:t>单位：人民币元</w:t>
      </w:r>
    </w:p>
    <w:tbl>
      <w:tblPr>
        <w:tblpPr w:leftFromText="180" w:rightFromText="180" w:vertAnchor="text" w:tblpXSpec="center" w:tblpY="1"/>
        <w:tblOverlap w:val="neve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1838"/>
        <w:gridCol w:w="2693"/>
        <w:gridCol w:w="2410"/>
        <w:gridCol w:w="2126"/>
      </w:tblGrid>
      <w:tr w:rsidR="00B31DA4" w:rsidRPr="00B0184E" w:rsidTr="00E2696A">
        <w:trPr>
          <w:trHeight w:val="699"/>
          <w:jc w:val="center"/>
        </w:trPr>
        <w:tc>
          <w:tcPr>
            <w:tcW w:w="1838" w:type="dxa"/>
            <w:vMerge w:val="restart"/>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内部销售代码</w:t>
            </w:r>
          </w:p>
        </w:tc>
        <w:tc>
          <w:tcPr>
            <w:tcW w:w="7229" w:type="dxa"/>
            <w:gridSpan w:val="3"/>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报告期（2023年10月01日 - 2023年12月31日）</w:t>
            </w:r>
          </w:p>
        </w:tc>
      </w:tr>
      <w:tr w:rsidR="00B31DA4" w:rsidRPr="00B0184E" w:rsidTr="00E2696A">
        <w:trPr>
          <w:trHeight w:val="1697"/>
          <w:jc w:val="center"/>
        </w:trPr>
        <w:tc>
          <w:tcPr>
            <w:tcW w:w="1838" w:type="dxa"/>
            <w:vMerge/>
            <w:vAlign w:val="center"/>
          </w:tcPr>
          <w:p w:rsidR="00B31DA4" w:rsidRPr="00B0184E" w:rsidRDefault="00B31DA4" w:rsidP="00E80B2A">
            <w:pPr>
              <w:spacing w:beforeLines="20" w:before="48" w:afterLines="20" w:after="48"/>
              <w:jc w:val="center"/>
              <w:rPr>
                <w:rFonts w:ascii="方正仿宋简体" w:eastAsia="方正仿宋简体"/>
                <w:sz w:val="24"/>
                <w:szCs w:val="24"/>
              </w:rPr>
            </w:pPr>
          </w:p>
        </w:tc>
        <w:tc>
          <w:tcPr>
            <w:tcW w:w="269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1.期末产品最后一个市场交易</w:t>
            </w:r>
            <w:proofErr w:type="gramStart"/>
            <w:r w:rsidRPr="00B0184E">
              <w:rPr>
                <w:rFonts w:ascii="方正仿宋简体" w:eastAsia="方正仿宋简体" w:hint="eastAsia"/>
                <w:sz w:val="24"/>
                <w:szCs w:val="24"/>
              </w:rPr>
              <w:t>日资产</w:t>
            </w:r>
            <w:proofErr w:type="gramEnd"/>
            <w:r w:rsidRPr="00B0184E">
              <w:rPr>
                <w:rFonts w:ascii="方正仿宋简体" w:eastAsia="方正仿宋简体" w:hint="eastAsia"/>
                <w:sz w:val="24"/>
                <w:szCs w:val="24"/>
              </w:rPr>
              <w:t>净值</w:t>
            </w:r>
          </w:p>
        </w:tc>
        <w:tc>
          <w:tcPr>
            <w:tcW w:w="241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2.期末产品最后一个市场交易日份额净值</w:t>
            </w:r>
          </w:p>
        </w:tc>
        <w:tc>
          <w:tcPr>
            <w:tcW w:w="212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3.期末产品最后一个市场交易日份额累计净值</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Y30117</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193,143,708.11</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1.0223</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1.0223</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Y31117</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586,629,915.31</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1.0229</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1.0229</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Y32117</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470,207,470.41</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1.0235</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1.0235</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Y33117</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214,395,752.05</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1.0241</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1.0241</w:t>
            </w:r>
          </w:p>
        </w:tc>
      </w:tr>
    </w:tbl>
    <w:p w:rsidR="00B31DA4" w:rsidRPr="00B0184E" w:rsidRDefault="007816A9" w:rsidP="00675A8D">
      <w:pPr>
        <w:pStyle w:val="biaogeleft"/>
        <w:spacing w:before="240" w:after="72" w:line="360" w:lineRule="auto"/>
        <w:ind w:left="0"/>
        <w:rPr>
          <w:rFonts w:ascii="方正仿宋简体" w:eastAsia="方正仿宋简体" w:hAnsi="Times New Roman" w:cs="Times New Roman"/>
          <w:kern w:val="2"/>
        </w:rPr>
      </w:pPr>
      <w:r w:rsidRPr="00B0184E">
        <w:rPr>
          <w:rFonts w:ascii="方正仿宋简体" w:eastAsia="方正仿宋简体" w:hAnsi="Times New Roman" w:cs="Times New Roman" w:hint="eastAsia"/>
          <w:kern w:val="2"/>
        </w:rPr>
        <w:t>注：产品净值可能存在未扣除管理人及投资合作机构业绩报酬、赎回费等费用（如有）的情况，实际收益以兑付为准。</w:t>
      </w:r>
    </w:p>
    <w:p w:rsidR="00B31DA4"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§3  管理人报告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3.1 报告期内产品的投资策略和运作分析</w:t>
      </w:r>
    </w:p>
    <w:p w:rsidR="00B31DA4" w:rsidRPr="00B0184E" w:rsidRDefault="007816A9" w:rsidP="00675A8D">
      <w:pPr>
        <w:spacing w:before="240" w:after="72" w:line="360" w:lineRule="auto"/>
        <w:rPr>
          <w:rFonts w:ascii="方正仿宋简体" w:eastAsia="方正仿宋简体"/>
          <w:sz w:val="24"/>
          <w:szCs w:val="24"/>
        </w:rPr>
      </w:pPr>
      <w:r>
        <w:rPr>
          <w:rFonts w:ascii="方正仿宋简体" w:eastAsia="方正仿宋简体" w:hint="eastAsia"/>
          <w:sz w:val="24"/>
          <w:szCs w:val="24"/>
        </w:rPr>
        <w:t>  四季度期间，10月中上旬政府债券供给放量，资金面边际收敛，叠加地产销售端政策进一步优化，债市情绪偏弱，利率上行，短端回升至年内高点，但从10月底以来，基本面修复偏弱，尤其是12月下旬存款利率调降等引发做多情绪，收益率走势震荡偏强。四季度债市收益率整体呈现下行状态，10年期国债收益率从10月初的2.67%降至12月底的2.56%的低点。信用债市场方面，“资产荒”延续，城投化债行情持续演绎，信用债表现优于利率债，收益率平坦化下行，预计在城投债供给缩量的背景下，后续信用债配置需求仍较为旺盛，走势料将偏强。</w:t>
        <w:br w:type="textWrapping" w:clear="all"/>
      </w:r>
      <w:r>
        <w:rPr>
          <w:rFonts w:ascii="方正仿宋简体" w:eastAsia="方正仿宋简体" w:hint="eastAsia"/>
          <w:sz w:val="24"/>
          <w:szCs w:val="24"/>
        </w:rPr>
        <w:t>  往后看，新旧动能转换之际，经济基本面偏弱的格局未有明显变化，债市大幅调整的风险可控，跨过年末时点，资金面压力明显缓释，债市情绪大概率企稳向好。随着地方债置换高票息的城投债，城投债大概率将日益稀缺，策略上将会积极把握信用债的票息价值，适时参与波段交易增厚收益。</w:t>
      </w: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3.2 报告期内产品的流动性风险分析</w:t>
      </w:r>
    </w:p>
    <w:p w:rsidR="00B31DA4" w:rsidRPr="00B0184E" w:rsidRDefault="007816A9" w:rsidP="00675A8D">
      <w:pPr>
        <w:spacing w:before="240" w:after="72" w:line="360" w:lineRule="auto"/>
        <w:rPr>
          <w:rFonts w:ascii="方正仿宋简体" w:eastAsia="方正仿宋简体"/>
          <w:sz w:val="24"/>
          <w:szCs w:val="24"/>
        </w:rPr>
      </w:pPr>
      <w:r w:rsidRPr="00B0184E">
        <w:rPr>
          <w:rFonts w:ascii="方正仿宋简体" w:eastAsia="方正仿宋简体"/>
          <w:sz w:val="24"/>
          <w:szCs w:val="24"/>
        </w:rPr>
        <w:t/>
      </w:r>
      <w:proofErr w:type="spellStart"/>
      <w:r w:rsidRPr="00B0184E">
        <w:rPr>
          <w:rFonts w:ascii="方正仿宋简体" w:eastAsia="方正仿宋简体"/>
          <w:sz w:val="24"/>
          <w:szCs w:val="24"/>
        </w:rPr>
        <w:t/>
      </w:r>
      <w:proofErr w:type="spellEnd"/>
      <w:r w:rsidRPr="00B0184E">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3.3 报告期内产品的业绩表现</w:t>
      </w:r>
    </w:p>
    <w:p w:rsidR="00B31DA4" w:rsidRPr="00B0184E" w:rsidRDefault="007816A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截至报告期末，本产品Y30117份额净值为1.0223元，Y31117份额净值为1.0229元，Y32117份额净值为1.0235元，Y33117份额净值为1.0241元。</w:t>
      </w:r>
    </w:p>
    <w:p w:rsidR="00B31DA4" w:rsidRDefault="00B31DA4" w:rsidP="00675A8D">
      <w:pPr>
        <w:spacing w:before="240" w:after="72" w:line="360" w:lineRule="auto"/>
        <w:rPr>
          <w:rFonts w:ascii="方正仿宋_GBK" w:eastAsia="方正仿宋_GBK" w:hAnsi="宋体"/>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§4  投资组合报告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4.1 报告期末产品资产组合情况</w:t>
      </w:r>
    </w:p>
    <w:tbl>
      <w:tblPr>
        <w:tblpPr w:leftFromText="180" w:rightFromText="180" w:vertAnchor="text" w:tblpXSpec="center" w:tblpY="1"/>
        <w:tblOverlap w:val="never"/>
        <w:tblW w:w="8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45"/>
        <w:gridCol w:w="1859"/>
        <w:gridCol w:w="3002"/>
        <w:gridCol w:w="3289"/>
      </w:tblGrid>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资产类别</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proofErr w:type="gramStart"/>
            <w:r w:rsidRPr="00B0184E">
              <w:rPr>
                <w:rFonts w:ascii="方正仿宋简体" w:eastAsia="方正仿宋简体" w:hint="eastAsia"/>
                <w:sz w:val="24"/>
                <w:szCs w:val="24"/>
              </w:rPr>
              <w:t>穿透前占总</w:t>
            </w:r>
            <w:proofErr w:type="gramEnd"/>
            <w:r w:rsidRPr="00B0184E">
              <w:rPr>
                <w:rFonts w:ascii="方正仿宋简体" w:eastAsia="方正仿宋简体" w:hint="eastAsia"/>
                <w:sz w:val="24"/>
                <w:szCs w:val="24"/>
              </w:rPr>
              <w:t>资产比例</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穿透后占总资产比例</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lastRenderedPageBreak/>
              <w:t>1</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固定收益类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权益类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商品及金融衍生品类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4</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混合类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5</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合计</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r>
    </w:tbl>
    <w:p w:rsidR="00B31DA4" w:rsidRPr="00A21516"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4.2 报告期末按公允价值占产品资产净值比例大小排序的前十名资产投资明细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50"/>
        <w:gridCol w:w="1581"/>
        <w:gridCol w:w="2712"/>
        <w:gridCol w:w="2052"/>
        <w:gridCol w:w="1807"/>
      </w:tblGrid>
      <w:tr w:rsidR="00B31DA4" w:rsidTr="0031044B">
        <w:trPr>
          <w:trHeight w:val="1233"/>
          <w:jc w:val="center"/>
        </w:trPr>
        <w:tc>
          <w:tcPr>
            <w:tcW w:w="75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58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代码</w:t>
            </w:r>
          </w:p>
        </w:tc>
        <w:tc>
          <w:tcPr>
            <w:tcW w:w="272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名称</w:t>
            </w:r>
          </w:p>
        </w:tc>
        <w:tc>
          <w:tcPr>
            <w:tcW w:w="2058"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公允价值（元）</w:t>
            </w:r>
          </w:p>
        </w:tc>
        <w:tc>
          <w:tcPr>
            <w:tcW w:w="1812"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占产品资产净值比例（％）</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ZJQTT202301090001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江苏信托鑫盈3号集合资金信托计划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604,511,515.68</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41.28</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ZJQTT202301110001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外贸信托-鑫华优享1号证券投资集合资金信托计划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153,943,870.01</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10.51</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23881356</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23西湖城建08</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140,000,000.00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9.56</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23881505</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23江宁经开09</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133,000,000.00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9.08</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23881384</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23今世缘01</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127,000,000.00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8.67</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23881352</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23镇江风旅01</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6.83</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7</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23881563</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23淮安国联11</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6.83</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8</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XTDKX202306250002</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云南信托-至善1141-2号集合资金信托计划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80,000,000.00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5.46</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4.3报告期末非标准化债权类资产明细</w:t>
      </w:r>
    </w:p>
    <w:tbl>
      <w:tblPr>
        <w:tblpPr w:leftFromText="180" w:rightFromText="180" w:vertAnchor="text" w:tblpXSpec="center" w:tblpY="1"/>
        <w:tblOverlap w:val="neve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77"/>
        <w:gridCol w:w="1704"/>
        <w:gridCol w:w="1275"/>
        <w:gridCol w:w="1540"/>
        <w:gridCol w:w="1383"/>
        <w:gridCol w:w="1271"/>
        <w:gridCol w:w="876"/>
      </w:tblGrid>
      <w:tr w:rsidR="00B31DA4" w:rsidTr="007816A9">
        <w:trPr>
          <w:trHeight w:val="1078"/>
          <w:jc w:val="center"/>
        </w:trPr>
        <w:tc>
          <w:tcPr>
            <w:tcW w:w="877"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704"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融资客户</w:t>
            </w:r>
          </w:p>
        </w:tc>
        <w:tc>
          <w:tcPr>
            <w:tcW w:w="127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项目名称</w:t>
            </w:r>
          </w:p>
        </w:tc>
        <w:tc>
          <w:tcPr>
            <w:tcW w:w="154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剩余融资期限（</w:t>
            </w:r>
            <w:r w:rsidRPr="00B0184E">
              <w:rPr>
                <w:rFonts w:ascii="方正仿宋简体" w:eastAsia="方正仿宋简体"/>
                <w:sz w:val="24"/>
                <w:szCs w:val="24"/>
              </w:rPr>
              <w:t>天）</w:t>
            </w:r>
          </w:p>
        </w:tc>
        <w:tc>
          <w:tcPr>
            <w:tcW w:w="138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到期收益分配</w:t>
            </w:r>
          </w:p>
        </w:tc>
        <w:tc>
          <w:tcPr>
            <w:tcW w:w="127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交易结构</w:t>
            </w:r>
          </w:p>
        </w:tc>
        <w:tc>
          <w:tcPr>
            <w:tcW w:w="87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风险状况</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南京江宁经济技术开发集团有限公司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23江宁经开09</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181</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今世缘集团有限公司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23今世缘01</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170</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淮安市国有联合投资发展集团有限公司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23淮安国联11</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184</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镇江市风景旅游发展有限责任公司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23镇江风旅01</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171</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杭州西湖城市建设投资集团有限公司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23西湖城建08</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170</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深圳智领星辰科技有限公司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云南信托-至善1141-2号集合资金信托计划</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178</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不规则付息</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§5 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46"/>
        <w:gridCol w:w="1417"/>
        <w:gridCol w:w="2668"/>
        <w:gridCol w:w="1983"/>
        <w:gridCol w:w="1988"/>
      </w:tblGrid>
      <w:tr w:rsidR="000532CC" w:rsidTr="00531855">
        <w:trPr>
          <w:trHeight w:val="584"/>
          <w:jc w:val="center"/>
        </w:trPr>
        <w:tc>
          <w:tcPr>
            <w:tcW w:w="846"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417"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账户类型</w:t>
            </w:r>
          </w:p>
        </w:tc>
        <w:tc>
          <w:tcPr>
            <w:tcW w:w="266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账号</w:t>
            </w:r>
          </w:p>
        </w:tc>
        <w:tc>
          <w:tcPr>
            <w:tcW w:w="1983"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账户名称</w:t>
            </w:r>
          </w:p>
        </w:tc>
        <w:tc>
          <w:tcPr>
            <w:tcW w:w="198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开户单位</w:t>
            </w:r>
          </w:p>
        </w:tc>
      </w:tr>
      <w:tr>
        <w:trPr>
          <w:trHeight w:val="584"/>
          <w:jc w:val="center"/>
        </w:trPr>
        <w:tc>
          <w:tcPr>
            <w:tcW w:w="84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0120010000001186</w:t>
            </w:r>
          </w:p>
        </w:tc>
        <w:tc>
          <w:tcPr>
            <w:tcW w:w="19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南银理财鑫逸稳一年117期</w:t>
            </w:r>
          </w:p>
        </w:tc>
        <w:tc>
          <w:tcPr>
            <w:tcW w:w="198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rsidR="00B31DA4" w:rsidRDefault="00B31DA4" w:rsidP="0068509B">
      <w:pPr>
        <w:spacing w:afterLines="0" w:line="360" w:lineRule="auto"/>
        <w:rPr>
          <w:rFonts w:ascii="方正仿宋_GBK" w:eastAsia="方正仿宋_GBK"/>
          <w:sz w:val="24"/>
          <w:szCs w:val="24"/>
        </w:rPr>
      </w:pPr>
    </w:p>
    <w:p w:rsidR="00675A8D" w:rsidRDefault="00675A8D" w:rsidP="00675A8D">
      <w:pPr>
        <w:spacing w:before="240" w:after="72" w:line="360" w:lineRule="auto"/>
        <w:jc w:val="center"/>
        <w:rPr>
          <w:rFonts w:ascii="方正仿宋_GBK" w:eastAsia="方正仿宋_GBK"/>
          <w:b/>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bookmarkStart w:id="0" w:name="_GoBack"/>
      <w:r w:rsidRPr="00B0184E">
        <w:rPr>
          <w:rFonts w:ascii="方正仿宋简体" w:eastAsia="方正仿宋简体" w:hint="eastAsia"/>
          <w:b/>
          <w:sz w:val="24"/>
          <w:szCs w:val="24"/>
        </w:rPr>
        <w:t>§6 关联交易情况</w:t>
      </w:r>
    </w:p>
    <w:bookmarkEnd w:id="0"/>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报告期内，产品投资于关联</w:t>
      </w:r>
      <w:proofErr w:type="gramStart"/>
      <w:r w:rsidRPr="00B0184E">
        <w:rPr>
          <w:rFonts w:ascii="方正仿宋简体" w:eastAsia="方正仿宋简体" w:hint="eastAsia"/>
          <w:sz w:val="24"/>
          <w:szCs w:val="24"/>
        </w:rPr>
        <w:t>方发行</w:t>
      </w:r>
      <w:proofErr w:type="gramEnd"/>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的证券、关联方作为融资人的非标准化债权类资产业务交易金额0.00元。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产品投资于关联方承销的证券交易金额0.00元。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产品与关联方作为交易对手开展的投融资业务交易金额0.00元。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产品投资关联方作为管理人的资产管理产品交易金额0.00元。</w:t>
      </w:r>
    </w:p>
    <w:p w:rsidR="004601C9" w:rsidRPr="00B0184E" w:rsidRDefault="00DD2B26"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产品</w:t>
      </w:r>
      <w:r w:rsidR="004601C9" w:rsidRPr="00B0184E">
        <w:rPr>
          <w:rFonts w:ascii="方正仿宋简体" w:eastAsia="方正仿宋简体" w:hint="eastAsia"/>
          <w:sz w:val="24"/>
          <w:szCs w:val="24"/>
        </w:rPr>
        <w:t/>
      </w:r>
      <w:proofErr w:type="spellStart"/>
      <w:r w:rsidR="004601C9" w:rsidRPr="00B0184E">
        <w:rPr>
          <w:rFonts w:ascii="方正仿宋简体" w:eastAsia="方正仿宋简体" w:hint="eastAsia"/>
          <w:sz w:val="24"/>
          <w:szCs w:val="24"/>
        </w:rPr>
        <w:t/>
      </w:r>
      <w:proofErr w:type="spellEnd"/>
      <w:r w:rsidR="004601C9" w:rsidRPr="00B0184E">
        <w:rPr>
          <w:rFonts w:ascii="方正仿宋简体" w:eastAsia="方正仿宋简体" w:hint="eastAsia"/>
          <w:sz w:val="24"/>
          <w:szCs w:val="24"/>
        </w:rPr>
        <w:t>支付关联方托管费0.00</w:t>
      </w:r>
      <w:r w:rsidRPr="00B0184E">
        <w:rPr>
          <w:rFonts w:ascii="方正仿宋简体" w:eastAsia="方正仿宋简体" w:hint="eastAsia"/>
          <w:sz w:val="24"/>
          <w:szCs w:val="24"/>
        </w:rPr>
        <w:t>元，</w:t>
      </w:r>
      <w:r w:rsidR="004601C9" w:rsidRPr="00B0184E">
        <w:rPr>
          <w:rFonts w:ascii="方正仿宋简体" w:eastAsia="方正仿宋简体" w:hint="eastAsia"/>
          <w:sz w:val="24"/>
          <w:szCs w:val="24"/>
        </w:rPr>
        <w:t>支付关联方代销费</w:t>
      </w:r>
      <w:r w:rsidR="00735F94" w:rsidRPr="00B0184E">
        <w:rPr>
          <w:rFonts w:ascii="方正仿宋简体" w:eastAsia="方正仿宋简体" w:hint="eastAsia"/>
          <w:sz w:val="24"/>
          <w:szCs w:val="24"/>
        </w:rPr>
        <w:t/>
      </w:r>
      <w:proofErr w:type="spellStart"/>
      <w:r w:rsidR="00735F94" w:rsidRPr="00B0184E">
        <w:rPr>
          <w:rFonts w:ascii="方正仿宋简体" w:eastAsia="方正仿宋简体" w:hint="eastAsia"/>
          <w:sz w:val="24"/>
          <w:szCs w:val="24"/>
        </w:rPr>
        <w:t/>
      </w:r>
      <w:proofErr w:type="spellEnd"/>
      <w:r w:rsidR="00735F94" w:rsidRPr="00B0184E">
        <w:rPr>
          <w:rFonts w:ascii="方正仿宋简体" w:eastAsia="方正仿宋简体" w:hint="eastAsia"/>
          <w:sz w:val="24"/>
          <w:szCs w:val="24"/>
        </w:rPr>
        <w:t>224,877.29</w:t>
      </w:r>
      <w:r w:rsidR="004601C9" w:rsidRPr="00B0184E">
        <w:rPr>
          <w:rFonts w:ascii="方正仿宋简体" w:eastAsia="方正仿宋简体" w:hint="eastAsia"/>
          <w:sz w:val="24"/>
          <w:szCs w:val="24"/>
        </w:rPr>
        <w:t>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产品发生其他关联交易金额0.00元。</w:t>
      </w:r>
    </w:p>
    <w:p w:rsidR="00B31DA4"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lastRenderedPageBreak/>
        <w:t>报告期内，产品未发生重大关联交易。</w:t>
      </w: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jc w:val="right"/>
        <w:rPr>
          <w:rFonts w:ascii="方正仿宋_GBK" w:eastAsia="方正仿宋_GBK"/>
          <w:b/>
          <w:sz w:val="24"/>
          <w:szCs w:val="24"/>
        </w:rPr>
      </w:pP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南银理财有限责任公司</w:t>
      </w: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2023年12月31日</w:t>
      </w:r>
    </w:p>
    <w:p w:rsidR="00B31DA4" w:rsidRDefault="00B31DA4" w:rsidP="00675A8D">
      <w:pPr>
        <w:spacing w:before="240" w:after="72" w:line="360" w:lineRule="auto"/>
        <w:rPr>
          <w:rFonts w:ascii="方正仿宋_GBK" w:eastAsia="方正仿宋_GBK"/>
          <w:sz w:val="24"/>
          <w:szCs w:val="24"/>
        </w:rPr>
      </w:pPr>
    </w:p>
    <w:p w:rsidR="00B31DA4" w:rsidRDefault="00B31DA4" w:rsidP="00675A8D">
      <w:pPr>
        <w:spacing w:before="240" w:after="72" w:line="360" w:lineRule="auto"/>
        <w:rPr>
          <w:rFonts w:ascii="方正仿宋_GBK" w:eastAsia="方正仿宋_GBK"/>
          <w:sz w:val="24"/>
          <w:szCs w:val="24"/>
        </w:rPr>
      </w:pPr>
    </w:p>
    <w:sectPr w:rsidR="00B31DA4" w:rsidSect="00FE56AA">
      <w:headerReference w:type="even" r:id="rId7"/>
      <w:headerReference w:type="default" r:id="rId8"/>
      <w:footerReference w:type="even" r:id="rId9"/>
      <w:footerReference w:type="default" r:id="rId10"/>
      <w:headerReference w:type="first" r:id="rId11"/>
      <w:footerReference w:type="first" r:id="rId12"/>
      <w:pgSz w:w="11926" w:h="16867"/>
      <w:pgMar w:top="1418" w:right="1418" w:bottom="853" w:left="1418" w:header="851" w:footer="992"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285D" w:rsidRDefault="00C4285D">
      <w:pPr>
        <w:spacing w:after="72"/>
      </w:pPr>
      <w:r>
        <w:separator/>
      </w:r>
    </w:p>
  </w:endnote>
  <w:endnote w:type="continuationSeparator" w:id="0">
    <w:p w:rsidR="00C4285D" w:rsidRDefault="00C4285D">
      <w:pPr>
        <w:spacing w:after="7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简体">
    <w:altName w:val="微软雅黑"/>
    <w:charset w:val="86"/>
    <w:family w:val="script"/>
    <w:pitch w:val="fixed"/>
    <w:sig w:usb0="00000001" w:usb1="080E0000" w:usb2="00000010" w:usb3="00000000" w:csb0="00040000" w:csb1="00000000"/>
  </w:font>
  <w:font w:name="方正仿宋简体">
    <w:altName w:val="Arial Unicode MS"/>
    <w:charset w:val="86"/>
    <w:family w:val="script"/>
    <w:pitch w:val="default"/>
    <w:sig w:usb0="00000000" w:usb1="00000000" w:usb2="00000010" w:usb3="00000000" w:csb0="00040000" w:csb1="00000000"/>
  </w:font>
  <w:font w:name="方正仿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D76555">
    <w:pPr>
      <w:pStyle w:val="a3"/>
      <w:framePr w:wrap="around" w:vAnchor="text" w:hAnchor="margin" w:xAlign="center" w:y="1"/>
      <w:spacing w:after="72"/>
      <w:rPr>
        <w:rStyle w:val="a6"/>
      </w:rPr>
    </w:pPr>
    <w:r>
      <w:fldChar w:fldCharType="begin"/>
    </w:r>
    <w:r w:rsidR="007816A9">
      <w:rPr>
        <w:rStyle w:val="a6"/>
      </w:rPr>
      <w:instrText xml:space="preserve">PAGE  </w:instrText>
    </w:r>
    <w:r>
      <w:fldChar w:fldCharType="end"/>
    </w:r>
  </w:p>
  <w:p w:rsidR="00B31DA4" w:rsidRDefault="00B31DA4">
    <w:pPr>
      <w:pStyle w:val="a3"/>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285D" w:rsidRDefault="00C4285D">
      <w:pPr>
        <w:spacing w:after="72"/>
      </w:pPr>
      <w:r>
        <w:separator/>
      </w:r>
    </w:p>
  </w:footnote>
  <w:footnote w:type="continuationSeparator" w:id="0">
    <w:p w:rsidR="00C4285D" w:rsidRDefault="00C4285D">
      <w:pPr>
        <w:spacing w:after="7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57DD4EC8"/>
    <w:rsid w:val="611546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47B713EE-A110-4569-BB15-FC96424C7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56AA"/>
    <w:pPr>
      <w:widowControl w:val="0"/>
      <w:spacing w:afterLines="30"/>
      <w:jc w:val="both"/>
    </w:pPr>
    <w:rPr>
      <w:rFonts w:ascii="Times New Roman" w:eastAsia="宋体"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FE56AA"/>
    <w:pPr>
      <w:tabs>
        <w:tab w:val="center" w:pos="4153"/>
        <w:tab w:val="right" w:pos="8306"/>
      </w:tabs>
      <w:snapToGrid w:val="0"/>
      <w:jc w:val="left"/>
    </w:pPr>
    <w:rPr>
      <w:rFonts w:eastAsiaTheme="minorEastAsia"/>
      <w:sz w:val="18"/>
      <w:szCs w:val="18"/>
    </w:rPr>
  </w:style>
  <w:style w:type="paragraph" w:styleId="a4">
    <w:name w:val="header"/>
    <w:basedOn w:val="a"/>
    <w:link w:val="Char0"/>
    <w:uiPriority w:val="99"/>
    <w:unhideWhenUsed/>
    <w:qFormat/>
    <w:rsid w:val="00FE56AA"/>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FE56AA"/>
    <w:pPr>
      <w:widowControl/>
      <w:spacing w:before="100" w:beforeAutospacing="1" w:after="100" w:afterAutospacing="1"/>
      <w:jc w:val="left"/>
    </w:pPr>
    <w:rPr>
      <w:rFonts w:ascii="宋体" w:hAnsi="宋体"/>
      <w:kern w:val="0"/>
      <w:sz w:val="24"/>
      <w:szCs w:val="24"/>
    </w:rPr>
  </w:style>
  <w:style w:type="character" w:styleId="a6">
    <w:name w:val="page number"/>
    <w:basedOn w:val="a0"/>
    <w:uiPriority w:val="99"/>
    <w:unhideWhenUsed/>
    <w:qFormat/>
    <w:rsid w:val="00FE56AA"/>
  </w:style>
  <w:style w:type="character" w:customStyle="1" w:styleId="Char">
    <w:name w:val="页脚 Char"/>
    <w:link w:val="a3"/>
    <w:uiPriority w:val="99"/>
    <w:qFormat/>
    <w:locked/>
    <w:rsid w:val="00FE56AA"/>
    <w:rPr>
      <w:rFonts w:ascii="Times New Roman" w:hAnsi="Times New Roman" w:cs="Times New Roman"/>
      <w:sz w:val="18"/>
      <w:szCs w:val="18"/>
    </w:rPr>
  </w:style>
  <w:style w:type="character" w:customStyle="1" w:styleId="Char1">
    <w:name w:val="页脚 Char1"/>
    <w:basedOn w:val="a0"/>
    <w:uiPriority w:val="99"/>
    <w:semiHidden/>
    <w:qFormat/>
    <w:rsid w:val="00FE56AA"/>
    <w:rPr>
      <w:rFonts w:ascii="Times New Roman" w:eastAsia="宋体" w:hAnsi="Times New Roman" w:cs="Times New Roman"/>
      <w:sz w:val="18"/>
      <w:szCs w:val="18"/>
    </w:rPr>
  </w:style>
  <w:style w:type="paragraph" w:customStyle="1" w:styleId="biaogeleft">
    <w:name w:val="biaoge_left"/>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2">
    <w:name w:val="zhangjie_p2"/>
    <w:basedOn w:val="a"/>
    <w:qFormat/>
    <w:rsid w:val="00FE56AA"/>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biaogecenter">
    <w:name w:val="biaoge_center"/>
    <w:basedOn w:val="a"/>
    <w:qFormat/>
    <w:rsid w:val="00FE56AA"/>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dazhangjie">
    <w:name w:val="dazhangjie"/>
    <w:basedOn w:val="a"/>
    <w:qFormat/>
    <w:rsid w:val="00FE56AA"/>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
    <w:name w:val="正文1"/>
    <w:qFormat/>
    <w:rsid w:val="00FE56AA"/>
    <w:pPr>
      <w:jc w:val="both"/>
    </w:pPr>
    <w:rPr>
      <w:rFonts w:ascii="Times New Roman" w:eastAsia="宋体" w:hAnsi="Times New Roman" w:cs="Times New Roman"/>
      <w:kern w:val="2"/>
      <w:sz w:val="21"/>
      <w:szCs w:val="21"/>
    </w:rPr>
  </w:style>
  <w:style w:type="paragraph" w:customStyle="1" w:styleId="biaogeright">
    <w:name w:val="biaoge_right"/>
    <w:basedOn w:val="a"/>
    <w:qFormat/>
    <w:rsid w:val="00FE56AA"/>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neirong">
    <w:name w:val="neirong"/>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
    <w:name w:val="zhangjie_p"/>
    <w:basedOn w:val="a"/>
    <w:qFormat/>
    <w:rsid w:val="00FE56AA"/>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Default">
    <w:name w:val="Default"/>
    <w:qFormat/>
    <w:rsid w:val="00FE56AA"/>
    <w:pPr>
      <w:widowControl w:val="0"/>
      <w:autoSpaceDE w:val="0"/>
      <w:autoSpaceDN w:val="0"/>
      <w:adjustRightInd w:val="0"/>
    </w:pPr>
    <w:rPr>
      <w:rFonts w:ascii="宋体" w:eastAsia="宋体" w:hAnsi="Times New Roman" w:cs="宋体"/>
      <w:color w:val="000000"/>
      <w:sz w:val="24"/>
      <w:szCs w:val="24"/>
    </w:rPr>
  </w:style>
  <w:style w:type="character" w:customStyle="1" w:styleId="Char0">
    <w:name w:val="页眉 Char"/>
    <w:basedOn w:val="a0"/>
    <w:link w:val="a4"/>
    <w:uiPriority w:val="99"/>
    <w:qFormat/>
    <w:rsid w:val="00FE56A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footer2.xml" Type="http://schemas.openxmlformats.org/officeDocument/2006/relationships/footer"/><Relationship Id="rId11" Target="header3.xml" Type="http://schemas.openxmlformats.org/officeDocument/2006/relationships/header"/><Relationship Id="rId12" Target="footer3.xml" Type="http://schemas.openxmlformats.org/officeDocument/2006/relationships/footer"/><Relationship Id="rId13" Target="fontTable.xml" Type="http://schemas.openxmlformats.org/officeDocument/2006/relationships/fontTable"/><Relationship Id="rId14"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header2.xml" Type="http://schemas.openxmlformats.org/officeDocument/2006/relationships/header"/><Relationship Id="rId9" Target="footer1.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6</Pages>
  <Words>315</Words>
  <Characters>1797</Characters>
  <Application>Microsoft Office Word</Application>
  <DocSecurity>0</DocSecurity>
  <Lines>14</Lines>
  <Paragraphs>4</Paragraphs>
  <ScaleCrop>false</ScaleCrop>
  <Company>cc</Company>
  <LinksUpToDate>false</LinksUpToDate>
  <CharactersWithSpaces>2108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兆尹科技</cp:lastModifiedBy>
  <dcterms:modified xsi:type="dcterms:W3CDTF">2023-06-06T07:37:00Z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65B57D7BDF384424A76A3B84B5FDE380</vt:lpwstr>
  </property>
</Properties>
</file>