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南银理财珠联璧合鑫逸稳一年108期封闭式公募人民币理财产品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南银理财珠联璧合鑫逸稳一年108期封闭式公募人民币理财产品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Z7003223000056（投资者可依据该编码在中国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2023年03月22日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1,223,326,473.00份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鑫元基金管理有限公司,中国对外经济贸易信托有限公司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Y30108</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180,056,053.30</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1.0344</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1.0344</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Y31108</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484,928,132.52</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1.0352</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1.0352</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Y32108</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601,739,776.27</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1.0360</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1.0360</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截至报告期末，本产品Y30108份额净值为1.0344元，Y31108份额净值为1.0352元，Y32108份额净值为1.0360元。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391,165,834.34</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30.88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258,687,450.35</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20.42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23880740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23泰交通02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188,000,000.00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14.84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23880887</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23高教投资05</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8.05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23880717</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23泗洪城投01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7.89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23880703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23建德交投01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7.89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23880902</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23淮安城资02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7.89</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泰州高教投资发展有限公司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23高教投资05</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97</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淮安市淮安区城市资产经营有限公司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23淮安城资02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泰州市交通产业集团有限公司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23泰交通02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建德市交通发展投资有限公司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23建德交投01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泗洪县城市建设投资经营集团有限公司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23泗洪城投01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0120050000001108</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南银理财鑫逸稳一年108期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230,965.95</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