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南银理财珠联璧合鑫逸稳一年109期（社会责任主题）封闭式公募人民币理财产品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南银理财珠联璧合鑫逸稳一年109期（社会责任主题）封闭式公募人民币理财产品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Z7003223000057（投资者可依据该编码在中国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2023年03月29日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947,612,341.00份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鑫元基金管理有限公司,中国对外经济贸易信托有限公司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Y30109</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155,927,906.48</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1.0346</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1.0346</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Y31109</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369,577,208.32</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1.0354</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1.0354</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Y32109</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455,935,279.97</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1.0362</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1.0362</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截至报告期末，本产品Y30109份额净值为1.0346元，Y31109份额净值为1.0354元，Y32109份额净值为1.0362元。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ZZGJT202005290001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鑫元基金-鑫安利得51号</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325,464,138.03</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33.16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23880887</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23高教投资05</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198,000,000.00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20.17</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155,089,285.70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15.80</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23880803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23宿迁裕丰03</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23880878</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23绍兴城改01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23880902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23淮安城资02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52,000,000.00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5.30</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151343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G19海兴1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30,103,700.13</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3.07</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泰州高教投资发展有限公司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23高教投资05</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97</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宿迁裕丰产业投资发展管理集团有限公司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23宿迁裕丰03</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89</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淮安市淮安区城市资产经营有限公司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23淮安城资02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98</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绍兴市城中村改造建设投资有限公司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23绍兴城改01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95</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0120090000001111</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南银理财鑫逸稳一年109期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166,420.59</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